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1E0"/>
      </w:tblPr>
      <w:tblGrid>
        <w:gridCol w:w="5875"/>
        <w:gridCol w:w="4320"/>
      </w:tblGrid>
      <w:tr>
        <w:trPr>
          <w:cantSplit/>
          <w:trHeight w:val="285"/>
        </w:trPr>
        <w:tc>
          <w:tcPr>
            <w:tcW w:w="5875" w:type="dxa"/>
            <w:vMerge w:val="restart"/>
            <w:tcMar>
              <w:top w:w="0" w:type="dxa"/>
            </w:tcMar>
          </w:tcPr>
          <w:p>
            <w:pPr>
              <w:pStyle w:val="Notice"/>
            </w:pPr>
          </w:p>
        </w:tc>
        <w:tc>
          <w:tcPr>
            <w:tcW w:w="4320" w:type="dxa"/>
            <w:shd w:val="clear" w:color="auto" w:fill="auto"/>
            <w:tcMar>
              <w:top w:w="0" w:type="dxa"/>
            </w:tcMar>
          </w:tcPr>
          <w:p>
            <w:pPr>
              <w:pStyle w:val="Logo"/>
            </w:pPr>
            <w:r>
              <w:rPr>
                <w:noProof/>
              </w:rPr>
              <w:drawing>
                <wp:inline distT="0" distB="0" distL="0" distR="0">
                  <wp:extent cx="2011680" cy="134112"/>
                  <wp:effectExtent l="19050" t="0" r="762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2011680" cy="134112"/>
                          </a:xfrm>
                          <a:prstGeom prst="rect">
                            <a:avLst/>
                          </a:prstGeom>
                        </pic:spPr>
                      </pic:pic>
                    </a:graphicData>
                  </a:graphic>
                </wp:inline>
              </w:drawing>
            </w:r>
          </w:p>
        </w:tc>
      </w:tr>
      <w:tr>
        <w:trPr>
          <w:cantSplit/>
          <w:trHeight w:val="285"/>
        </w:trPr>
        <w:tc>
          <w:tcPr>
            <w:tcW w:w="5875" w:type="dxa"/>
            <w:vMerge/>
            <w:tcMar>
              <w:top w:w="0" w:type="dxa"/>
            </w:tcMar>
          </w:tcPr>
          <w:p>
            <w:pPr>
              <w:pStyle w:val="Notice"/>
            </w:pPr>
          </w:p>
        </w:tc>
        <w:tc>
          <w:tcPr>
            <w:tcW w:w="4320" w:type="dxa"/>
            <w:vMerge w:val="restart"/>
            <w:shd w:val="clear" w:color="auto" w:fill="auto"/>
            <w:tcMar>
              <w:top w:w="0" w:type="dxa"/>
            </w:tcMar>
          </w:tcPr>
          <w:p>
            <w:pPr>
              <w:pStyle w:val="FirmName"/>
            </w:pPr>
            <w:r>
              <w:t>Mayer Brown LLP</w:t>
            </w:r>
          </w:p>
          <w:p>
            <w:pPr>
              <w:pStyle w:val="Return"/>
            </w:pPr>
            <w:r>
              <w:t>1999 K Street, N.W.</w:t>
            </w:r>
            <w:r>
              <w:br/>
              <w:t>Washington, D.C. 20006-1101</w:t>
            </w:r>
          </w:p>
          <w:p>
            <w:pPr>
              <w:pStyle w:val="MainNumbers"/>
            </w:pPr>
            <w:r>
              <w:t>Main Tel +1 202 263 3000</w:t>
            </w:r>
            <w:r>
              <w:br/>
              <w:t>Main Fax +1 202 263 3300</w:t>
            </w:r>
          </w:p>
          <w:p>
            <w:pPr>
              <w:pStyle w:val="Website"/>
            </w:pPr>
            <w:r>
              <w:t>www.mayerbrown.com</w:t>
            </w:r>
          </w:p>
          <w:p>
            <w:pPr>
              <w:pStyle w:val="Author"/>
            </w:pPr>
            <w:r>
              <w:t>Robert M. Jenkins, III</w:t>
            </w:r>
          </w:p>
          <w:p>
            <w:pPr>
              <w:pStyle w:val="AuthorInfo"/>
            </w:pPr>
            <w:r>
              <w:t>Direct Tel +1 202 263 3261</w:t>
            </w:r>
            <w:r>
              <w:br/>
              <w:t>Direct Fax +1 202 263 5261</w:t>
            </w:r>
          </w:p>
          <w:p>
            <w:pPr>
              <w:pStyle w:val="E-mail"/>
            </w:pPr>
            <w:r>
              <w:t>rmjenkins@mayerbrown.com</w:t>
            </w:r>
          </w:p>
        </w:tc>
      </w:tr>
      <w:tr>
        <w:trPr>
          <w:cantSplit/>
        </w:trPr>
        <w:tc>
          <w:tcPr>
            <w:tcW w:w="5875" w:type="dxa"/>
            <w:vAlign w:val="center"/>
          </w:tcPr>
          <w:p>
            <w:pPr>
              <w:pStyle w:val="Draft"/>
              <w:rPr>
                <w:u w:val="none"/>
              </w:rPr>
            </w:pPr>
          </w:p>
        </w:tc>
        <w:tc>
          <w:tcPr>
            <w:tcW w:w="4320" w:type="dxa"/>
            <w:vMerge/>
            <w:shd w:val="clear" w:color="auto" w:fill="auto"/>
          </w:tcPr>
          <w:p/>
        </w:tc>
      </w:tr>
      <w:tr>
        <w:trPr>
          <w:cantSplit/>
        </w:trPr>
        <w:tc>
          <w:tcPr>
            <w:tcW w:w="5875" w:type="dxa"/>
          </w:tcPr>
          <w:p>
            <w:pPr>
              <w:pStyle w:val="Date"/>
            </w:pPr>
            <w:r>
              <w:t>October 18, 2017</w:t>
            </w:r>
          </w:p>
        </w:tc>
        <w:tc>
          <w:tcPr>
            <w:tcW w:w="4320" w:type="dxa"/>
            <w:vMerge/>
          </w:tcPr>
          <w:p>
            <w:pPr>
              <w:pStyle w:val="Website"/>
            </w:pPr>
          </w:p>
        </w:tc>
      </w:tr>
      <w:tr>
        <w:trPr>
          <w:cantSplit/>
        </w:trPr>
        <w:tc>
          <w:tcPr>
            <w:tcW w:w="5875" w:type="dxa"/>
          </w:tcPr>
          <w:p>
            <w:pPr>
              <w:pStyle w:val="Delivery"/>
            </w:pPr>
          </w:p>
        </w:tc>
        <w:tc>
          <w:tcPr>
            <w:tcW w:w="4320" w:type="dxa"/>
            <w:vMerge/>
          </w:tcPr>
          <w:p/>
        </w:tc>
      </w:tr>
      <w:tr>
        <w:trPr>
          <w:cantSplit/>
        </w:trPr>
        <w:tc>
          <w:tcPr>
            <w:tcW w:w="5875" w:type="dxa"/>
          </w:tcPr>
          <w:p>
            <w:pPr>
              <w:pStyle w:val="Address"/>
            </w:pPr>
            <w:r>
              <w:t>Victoria Rutson</w:t>
            </w:r>
          </w:p>
          <w:p>
            <w:pPr>
              <w:pStyle w:val="Address"/>
            </w:pPr>
            <w:r>
              <w:t>Director, Office of Environmental Analysis</w:t>
            </w:r>
          </w:p>
          <w:p>
            <w:pPr>
              <w:pStyle w:val="Address"/>
            </w:pPr>
            <w:r>
              <w:t>Surface Transportation Board</w:t>
            </w:r>
          </w:p>
          <w:p>
            <w:pPr>
              <w:pStyle w:val="Address"/>
            </w:pPr>
            <w:r>
              <w:t>395 E Street, SW</w:t>
            </w:r>
          </w:p>
          <w:p>
            <w:pPr>
              <w:pStyle w:val="Address"/>
            </w:pPr>
            <w:r>
              <w:t>Washington, DC 20423</w:t>
            </w:r>
          </w:p>
        </w:tc>
        <w:tc>
          <w:tcPr>
            <w:tcW w:w="4320" w:type="dxa"/>
            <w:vMerge/>
          </w:tcPr>
          <w:p/>
        </w:tc>
      </w:tr>
      <w:tr>
        <w:trPr>
          <w:cantSplit/>
        </w:trPr>
        <w:tc>
          <w:tcPr>
            <w:tcW w:w="5875" w:type="dxa"/>
          </w:tcPr>
          <w:p>
            <w:pPr>
              <w:pStyle w:val="Subject"/>
            </w:pPr>
            <w:r>
              <w:t>Re:</w:t>
            </w:r>
            <w:r>
              <w:tab/>
            </w:r>
            <w:r>
              <w:rPr>
                <w:u w:val="single"/>
              </w:rPr>
              <w:t>STB Docket No. AB 167 (1189X) and associated dockets</w:t>
            </w:r>
          </w:p>
        </w:tc>
        <w:tc>
          <w:tcPr>
            <w:tcW w:w="4320" w:type="dxa"/>
            <w:vMerge/>
          </w:tcPr>
          <w:p/>
        </w:tc>
      </w:tr>
    </w:tbl>
    <w:p>
      <w:pPr>
        <w:pStyle w:val="Salutation"/>
      </w:pPr>
      <w:r>
        <w:t>Dear Ms. Rutson:</w:t>
      </w:r>
    </w:p>
    <w:p>
      <w:pPr>
        <w:pStyle w:val="BodyTextFirstIndent"/>
      </w:pPr>
      <w:r>
        <w:t xml:space="preserve">On behalf of Consolidated Rail Corporation (“Conrail”), this responds to the submission that City of Jersey City, Rails to Trails Conservancy, and Pennsylvania Railroad Harsimus Stem Embankment Preservation Coalition (“City et al.”) filed on October 6, 2017, in response to Conrail’s letter dated September 8, 2017.  </w:t>
      </w:r>
    </w:p>
    <w:p>
      <w:pPr>
        <w:pStyle w:val="BodyTextFirstIndent"/>
      </w:pPr>
      <w:r>
        <w:t>Conrail’s letter attached a decision issued on August 31, 2017 by the Superior Court of New Jersey, which addressed claims against Conrail brought by Chicago Title Insurance Company (“Chicago Title”), the title insurer for the Harsimus Embankment properties at issue in AB 167 (1189X) and associated dockets.  As City et al. have argued to the STB for close to a decade in connection with the environmental and historic preservation proceedings in AB 167 (1189X), Chicago Title argued to the Court that Conrail fraudulently or negligently misrepresented the jurisdictional status of the Embankments when it sold them to the LLCs.  Following a two-day trial in which the Court heard live witnesses, considered the documentary evidence, and received legal briefing from both sides, the Court concluded that Conrail’s statements were not even negligent, much less fraudulent.  In a 24-page decision, the Court found “no credible proof” that Conrail or its witnesses (Messrs. Ryan and Fiorilla, who testified at trial and were Conrail’s representatives in the sale) knew or should have known that the Embankments were part of a jurisdictional rail line.  Slip op. at 17-18, 19.</w:t>
      </w:r>
    </w:p>
    <w:p>
      <w:pPr>
        <w:pStyle w:val="BodyTextFirstIndent"/>
      </w:pPr>
      <w:r>
        <w:t xml:space="preserve">Faced with this thorough and conclusive demonstration that all of City et al.’s protestations about Conrail’s allegedly intentionally fraudulent sale of the Embankments were wrong—and that the Board’s conclusion in its March 2009 Environmental Assessment (slip op. at 14, served March 23, 2009) that there is no evidence of “any intent on Conrail’s part to harm historic sites or structures” was right—City et al. in their October 6 letter attack the Court’s decision the same way they have persistently attacked the Board’s decision.  City et al. claim that Conrail and its representatives must have “knowingly and intentionally breached the law,” because they must have known that the Embankments were part of a jurisdictional rail line.  Oct. 6 Letter at 4.  But that </w:t>
      </w:r>
      <w:r>
        <w:rPr>
          <w:i/>
        </w:rPr>
        <w:t xml:space="preserve">ipse dixit </w:t>
      </w:r>
      <w:r>
        <w:t xml:space="preserve">ignores that the Court, after considering both the documentary evidence and the credibility of live testimony of witnesses in a two-day trial, found exactly the opposite.  However fervently City et al. believe that Conrail simply </w:t>
      </w:r>
      <w:r>
        <w:rPr>
          <w:i/>
        </w:rPr>
        <w:t>had</w:t>
      </w:r>
      <w:r>
        <w:t xml:space="preserve"> to know that the Embankments were part of a jurisdictional rail line, the Court found that Conrail neither purposely nor negligently misrepresented Conrail’s contrary belief.  As Conrail has repeatedly had to point out in these proceedings in response to City et al.’s arguments, mere disagreement with a legal position is not evidence of fraud.  </w:t>
      </w:r>
      <w:r>
        <w:rPr>
          <w:i/>
        </w:rPr>
        <w:t>See</w:t>
      </w:r>
      <w:r>
        <w:t xml:space="preserve">, </w:t>
      </w:r>
      <w:r>
        <w:rPr>
          <w:i/>
        </w:rPr>
        <w:t>e.g.</w:t>
      </w:r>
      <w:r>
        <w:t>, Reply of Consolidated Rail Corporation, CSX Transportation, Inc., and Norfolk Southern Railway Company to “Motion on Behalf of City of Jersey City et al to Compel Consolidated Rail Corporation et al to Respond to Discovery (Document) Requests,” AB 167 (Sub-No. 1189X), at 5 (Oct. 7, 2014) (“Oct. 7, 2014 Reply”);</w:t>
      </w:r>
      <w:r>
        <w:rPr>
          <w:i/>
        </w:rPr>
        <w:t xml:space="preserve"> see also id. </w:t>
      </w:r>
      <w:r>
        <w:t>at 6.</w:t>
      </w:r>
    </w:p>
    <w:p>
      <w:pPr>
        <w:pStyle w:val="BodyTextFirstIndent"/>
      </w:pPr>
      <w:r>
        <w:t>It does no good for City et al. to attach to their letter the verified statement of another lawyer, Thomas McFarland, parroting the same legal arguments that City et al. have been making for years about why the Embankments were transferred to Conrail as a line of railroad.  Conrail could easily repeat yet again, as it has several times in this proceeding, why it believes the City et al.’s legal arguments were and are wrong.</w:t>
      </w:r>
      <w:r>
        <w:rPr>
          <w:rStyle w:val="FootnoteReference"/>
        </w:rPr>
        <w:footnoteReference w:id="2"/>
      </w:r>
      <w:r>
        <w:t xml:space="preserve">  The point here is that a highly motivated plaintiff presenting both documentary evidence and the testimony of live witnesses, and making every legal and factual argument it could muster, failed to convince the Court that Conrail’s position was “anything other than a reasoned and informed opinion as to the belief that the parcel was a spur track.”  Slip op. at 21.</w:t>
      </w:r>
      <w:r>
        <w:rPr>
          <w:rStyle w:val="FootnoteReference"/>
        </w:rPr>
        <w:footnoteReference w:id="3"/>
      </w:r>
      <w:r>
        <w:t xml:space="preserve">  Thus, much as City et al. may desire to continue to beat a dead horse, their position has been judicially rejected.</w:t>
      </w:r>
    </w:p>
    <w:p>
      <w:pPr>
        <w:pStyle w:val="BodyTextFirstIndent"/>
      </w:pPr>
      <w:r>
        <w:t xml:space="preserve">Finally, Conrail must respond to the suggestion in City et al.’s October 6 letter that there was something nefarious about Conrail’s opposition in 1999 (years before the sale to the LLCs) to the designation of the Embankments as eligible for listing on the State and National Registers.  Oct. 6 Letter at 6.  Not only Conrail but </w:t>
      </w:r>
      <w:r>
        <w:rPr>
          <w:i/>
        </w:rPr>
        <w:t>the City of Jersey City itself</w:t>
      </w:r>
      <w:r>
        <w:t xml:space="preserve"> in 1999 opposed such a designation.  (See the attached letter from Schundler to Hall dated July 7, 1999.)  It is the height of hypocrisy for City et al. to claim that Conrail was acting in bad faith when Conrail took the same position the City itself took about whether the Embankments should be listed.       </w:t>
      </w:r>
    </w:p>
    <w:p>
      <w:pPr>
        <w:pStyle w:val="Closing"/>
      </w:pPr>
      <w:bookmarkStart w:id="0" w:name="Closing"/>
      <w:r>
        <w:br/>
      </w:r>
      <w:r>
        <w:tab/>
      </w:r>
      <w:r>
        <w:tab/>
      </w:r>
      <w:r>
        <w:tab/>
      </w:r>
      <w:r>
        <w:tab/>
      </w:r>
      <w:r>
        <w:tab/>
      </w:r>
      <w:r>
        <w:tab/>
        <w:t>Sincerely yours,</w:t>
      </w:r>
      <w:bookmarkEnd w:id="0"/>
    </w:p>
    <w:p>
      <w:pPr>
        <w:pStyle w:val="Signature"/>
      </w:pPr>
      <w:bookmarkStart w:id="1" w:name="Signature"/>
      <w:r>
        <w:tab/>
      </w:r>
      <w:r>
        <w:tab/>
      </w:r>
      <w:r>
        <w:tab/>
      </w:r>
      <w:r>
        <w:tab/>
      </w:r>
      <w:r>
        <w:tab/>
      </w:r>
      <w:r>
        <w:tab/>
        <w:t>Robert M. Jenkins III</w:t>
      </w:r>
      <w:bookmarkEnd w:id="1"/>
    </w:p>
    <w:p>
      <w:pPr>
        <w:pStyle w:val="Encl-Attach"/>
      </w:pPr>
      <w:bookmarkStart w:id="2" w:name="AuthorTypist"/>
      <w:bookmarkEnd w:id="2"/>
      <w:r>
        <w:t>Enclosure</w:t>
      </w:r>
    </w:p>
    <w:p>
      <w:pPr>
        <w:pStyle w:val="cc-bcc"/>
      </w:pPr>
      <w:r>
        <w:t>cc:</w:t>
      </w:r>
      <w:r>
        <w:tab/>
        <w:t>Consulting and Interested Parties</w:t>
      </w:r>
      <w:r>
        <w:br/>
        <w:t>Charles H. Montange</w:t>
      </w:r>
      <w:r>
        <w:br/>
        <w:t>Eric Strohmeyer</w:t>
      </w:r>
    </w:p>
    <w:p>
      <w:pPr>
        <w:pStyle w:val="cc-bcc"/>
      </w:pPr>
    </w:p>
    <w:p>
      <w:pPr>
        <w:pStyle w:val="cc-bcc"/>
      </w:pPr>
    </w:p>
    <w:sectPr>
      <w:headerReference w:type="default" r:id="rId9"/>
      <w:footerReference w:type="first" r:id="rId10"/>
      <w:pgSz w:w="12240" w:h="15840" w:code="1"/>
      <w:pgMar w:top="1080" w:right="1440" w:bottom="1440" w:left="1440" w:header="360" w:footer="432"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
        <w:separator/>
      </w:r>
    </w:p>
  </w:endnote>
  <w:endnote w:type="continuationSeparator" w:id="0">
    <w:p>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Disclaimer"/>
    </w:pPr>
    <w:r>
      <w:t>Mayer Brown LLP operates in combination with other Mayer Brown entities (the "Mayer Brown Practices"), which have offices in North America,</w:t>
    </w:r>
    <w:r>
      <w:br/>
      <w:t>Europe and Asia and are associated with Tauil &amp; Chequer Advogados, a Brazilian law partnership.</w:t>
    </w:r>
  </w:p>
  <w:p>
    <w:pPr>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
        <w:separator/>
      </w:r>
    </w:p>
  </w:footnote>
  <w:footnote w:type="continuationSeparator" w:id="0">
    <w:p>
      <w:r>
        <w:separator/>
      </w:r>
    </w:p>
    <w:p>
      <w:pPr>
        <w:pStyle w:val="FootnoteText"/>
        <w:spacing w:after="160"/>
      </w:pPr>
      <w:r>
        <w:t>(… cont’d)</w:t>
      </w:r>
    </w:p>
  </w:footnote>
  <w:footnote w:type="continuationNotice" w:id="1">
    <w:p>
      <w:pPr>
        <w:pStyle w:val="FootnoteText"/>
        <w:jc w:val="right"/>
      </w:pPr>
      <w:r>
        <w:t>(cont’d)</w:t>
      </w:r>
    </w:p>
  </w:footnote>
  <w:footnote w:id="2">
    <w:p>
      <w:pPr>
        <w:pStyle w:val="FootnoteText"/>
        <w:rPr>
          <w:szCs w:val="24"/>
        </w:rPr>
      </w:pPr>
      <w:r>
        <w:rPr>
          <w:rStyle w:val="FootnoteReference"/>
          <w:szCs w:val="24"/>
        </w:rPr>
        <w:footnoteRef/>
      </w:r>
      <w:r>
        <w:rPr>
          <w:szCs w:val="24"/>
        </w:rPr>
        <w:t xml:space="preserve">  </w:t>
      </w:r>
      <w:r>
        <w:rPr>
          <w:i/>
          <w:szCs w:val="24"/>
        </w:rPr>
        <w:t>See</w:t>
      </w:r>
      <w:r>
        <w:rPr>
          <w:szCs w:val="24"/>
        </w:rPr>
        <w:t xml:space="preserve">, </w:t>
      </w:r>
      <w:r>
        <w:rPr>
          <w:i/>
          <w:szCs w:val="24"/>
        </w:rPr>
        <w:t>e.g.</w:t>
      </w:r>
      <w:r>
        <w:rPr>
          <w:szCs w:val="24"/>
        </w:rPr>
        <w:t>, Letter to V. Rutson from R. Jenkins, AB 167 (Sub-No. 1189X), at 2-5 (June 29, 2017); Reply of Consolidated Rail Corporation to “Additional Supplemental Comments” of Jersey City, et al., AB 167 (Sub-No. 1189X), at 1-8 (Oct. 15, 2014); Oct. 7, 2014 Reply at 2-15; Reply of Consolidated Rail Corporation to Motion for a Scheduling Order, AB 167 (Sub-No. 1189X), at 2-4 (July 3, 2014); Comments of Consolidated Rail Corporation on Environmental Assessment, AB 167 (Sub-No. 1189X), at 18-22 (May 7, 2009); Reply to City Parties’ “Restatement of Previously Requested Relief and Reservation of Rights</w:t>
      </w:r>
      <w:r>
        <w:rPr>
          <w:i/>
          <w:szCs w:val="24"/>
        </w:rPr>
        <w:t>,</w:t>
      </w:r>
      <w:r>
        <w:rPr>
          <w:szCs w:val="24"/>
        </w:rPr>
        <w:t>”</w:t>
      </w:r>
      <w:r>
        <w:rPr>
          <w:i/>
          <w:szCs w:val="24"/>
        </w:rPr>
        <w:t xml:space="preserve"> </w:t>
      </w:r>
      <w:r>
        <w:rPr>
          <w:szCs w:val="24"/>
        </w:rPr>
        <w:t>AB</w:t>
      </w:r>
      <w:r>
        <w:rPr>
          <w:i/>
          <w:szCs w:val="24"/>
        </w:rPr>
        <w:t xml:space="preserve"> </w:t>
      </w:r>
      <w:r>
        <w:rPr>
          <w:szCs w:val="24"/>
        </w:rPr>
        <w:t>167 (Sub-No. 1189X), at 4-11 (Mar. 18, 2009); Comments of Consolidated Rail Corporation on Issues Raised in Pre-Filing Correspondence, AB 167(Sub-No. 1189X), at 10-12, 13-18 (Jan. 6, 2009).</w:t>
      </w:r>
    </w:p>
  </w:footnote>
  <w:footnote w:id="3">
    <w:p>
      <w:pPr>
        <w:pStyle w:val="FootnoteText"/>
      </w:pPr>
      <w:r>
        <w:rPr>
          <w:rStyle w:val="FootnoteReference"/>
          <w:szCs w:val="24"/>
        </w:rPr>
        <w:footnoteRef/>
      </w:r>
      <w:r>
        <w:t xml:space="preserve"> While, for purposes of this abandonment proceeding, Conrail has chosen not to contest that the Harsimus Branch was transferred to Conrail as a line of railroad, Conrail has never stipulated or otherwise agreed that the Harsimus Branch was in fact transferred to Conrail as anything other than a nonjurisdictional spur.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5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1E0"/>
    </w:tblPr>
    <w:tblGrid>
      <w:gridCol w:w="4860"/>
      <w:gridCol w:w="5141"/>
    </w:tblGrid>
    <w:tr>
      <w:trPr>
        <w:cantSplit/>
        <w:trHeight w:val="864"/>
      </w:trPr>
      <w:tc>
        <w:tcPr>
          <w:tcW w:w="10001" w:type="dxa"/>
          <w:gridSpan w:val="2"/>
          <w:tcMar>
            <w:top w:w="0" w:type="dxa"/>
            <w:left w:w="29" w:type="dxa"/>
          </w:tcMar>
        </w:tcPr>
        <w:p>
          <w:pPr>
            <w:pStyle w:val="FirmName2"/>
          </w:pPr>
          <w:r>
            <w:t xml:space="preserve">Mayer Brown </w:t>
          </w:r>
          <w:r>
            <w:rPr>
              <w:smallCaps/>
            </w:rPr>
            <w:t>llp</w:t>
          </w:r>
        </w:p>
      </w:tc>
    </w:tr>
    <w:tr>
      <w:tc>
        <w:tcPr>
          <w:tcW w:w="4860" w:type="dxa"/>
        </w:tcPr>
        <w:p>
          <w:pPr>
            <w:pStyle w:val="HeaderInfo"/>
          </w:pPr>
          <w:r>
            <w:t>Victoria Rutson</w:t>
          </w:r>
        </w:p>
      </w:tc>
      <w:tc>
        <w:tcPr>
          <w:tcW w:w="5141" w:type="dxa"/>
          <w:vMerge w:val="restart"/>
        </w:tcPr>
        <w:p>
          <w:pPr>
            <w:pStyle w:val="Notice2"/>
          </w:pPr>
        </w:p>
      </w:tc>
    </w:tr>
    <w:tr>
      <w:tc>
        <w:tcPr>
          <w:tcW w:w="4860" w:type="dxa"/>
        </w:tcPr>
        <w:p>
          <w:pPr>
            <w:pStyle w:val="HeaderInfo"/>
          </w:pPr>
          <w:r>
            <w:t>October 18, 2017</w:t>
          </w:r>
        </w:p>
      </w:tc>
      <w:tc>
        <w:tcPr>
          <w:tcW w:w="5141" w:type="dxa"/>
          <w:vMerge/>
        </w:tcPr>
        <w:p/>
      </w:tc>
    </w:tr>
    <w:tr>
      <w:tc>
        <w:tcPr>
          <w:tcW w:w="4860" w:type="dxa"/>
        </w:tcPr>
        <w:p>
          <w:pPr>
            <w:pStyle w:val="HeaderInfo"/>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tc>
      <w:tc>
        <w:tcPr>
          <w:tcW w:w="5141" w:type="dxa"/>
          <w:vMerge/>
        </w:tcPr>
        <w:p/>
      </w:tc>
    </w:tr>
  </w:tbl>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B92C5F2"/>
    <w:lvl w:ilvl="0">
      <w:start w:val="1"/>
      <w:numFmt w:val="decimal"/>
      <w:lvlText w:val="%1."/>
      <w:lvlJc w:val="left"/>
      <w:pPr>
        <w:tabs>
          <w:tab w:val="num" w:pos="1800"/>
        </w:tabs>
        <w:ind w:left="1800" w:hanging="360"/>
      </w:pPr>
    </w:lvl>
  </w:abstractNum>
  <w:abstractNum w:abstractNumId="1">
    <w:nsid w:val="FFFFFF7D"/>
    <w:multiLevelType w:val="singleLevel"/>
    <w:tmpl w:val="F1282FB2"/>
    <w:lvl w:ilvl="0">
      <w:start w:val="1"/>
      <w:numFmt w:val="decimal"/>
      <w:lvlText w:val="%1."/>
      <w:lvlJc w:val="left"/>
      <w:pPr>
        <w:tabs>
          <w:tab w:val="num" w:pos="1440"/>
        </w:tabs>
        <w:ind w:left="1440" w:hanging="360"/>
      </w:pPr>
    </w:lvl>
  </w:abstractNum>
  <w:abstractNum w:abstractNumId="2">
    <w:nsid w:val="FFFFFF7E"/>
    <w:multiLevelType w:val="singleLevel"/>
    <w:tmpl w:val="DD8CCD42"/>
    <w:lvl w:ilvl="0">
      <w:start w:val="1"/>
      <w:numFmt w:val="decimal"/>
      <w:lvlText w:val="%1."/>
      <w:lvlJc w:val="left"/>
      <w:pPr>
        <w:tabs>
          <w:tab w:val="num" w:pos="1080"/>
        </w:tabs>
        <w:ind w:left="1080" w:hanging="360"/>
      </w:pPr>
    </w:lvl>
  </w:abstractNum>
  <w:abstractNum w:abstractNumId="3">
    <w:nsid w:val="FFFFFF7F"/>
    <w:multiLevelType w:val="singleLevel"/>
    <w:tmpl w:val="DC320392"/>
    <w:lvl w:ilvl="0">
      <w:start w:val="1"/>
      <w:numFmt w:val="decimal"/>
      <w:lvlText w:val="%1."/>
      <w:lvlJc w:val="left"/>
      <w:pPr>
        <w:tabs>
          <w:tab w:val="num" w:pos="720"/>
        </w:tabs>
        <w:ind w:left="720" w:hanging="360"/>
      </w:pPr>
    </w:lvl>
  </w:abstractNum>
  <w:abstractNum w:abstractNumId="4">
    <w:nsid w:val="FFFFFF80"/>
    <w:multiLevelType w:val="singleLevel"/>
    <w:tmpl w:val="07E67D5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0BC686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6BE2551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BA03AF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1B4488E"/>
    <w:lvl w:ilvl="0">
      <w:start w:val="1"/>
      <w:numFmt w:val="decimal"/>
      <w:lvlText w:val="%1."/>
      <w:lvlJc w:val="left"/>
      <w:pPr>
        <w:tabs>
          <w:tab w:val="num" w:pos="360"/>
        </w:tabs>
        <w:ind w:left="360" w:hanging="360"/>
      </w:pPr>
    </w:lvl>
  </w:abstractNum>
  <w:abstractNum w:abstractNumId="9">
    <w:nsid w:val="FFFFFF89"/>
    <w:multiLevelType w:val="singleLevel"/>
    <w:tmpl w:val="99249FD6"/>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20"/>
  <w:drawingGridHorizontalSpacing w:val="120"/>
  <w:displayHorizontalDrawingGridEvery w:val="2"/>
  <w:noPunctuationKerning/>
  <w:characterSpacingControl w:val="doNotCompress"/>
  <w:footnotePr>
    <w:footnote w:id="-1"/>
    <w:footnote w:id="0"/>
    <w:footnote w:id="1"/>
  </w:footnotePr>
  <w:endnotePr>
    <w:endnote w:id="-1"/>
    <w:endnote w:id="0"/>
  </w:endnotePr>
  <w:compat/>
  <w:docVars>
    <w:docVar w:name="##Author" w:val="RJ005183"/>
    <w:docVar w:name="##Country" w:val="US"/>
    <w:docVar w:name="##DocType" w:val="letter"/>
    <w:docVar w:name="##Format" w:val="Logo"/>
    <w:docVar w:name="##Location" w:val="Washington DC"/>
    <w:docVar w:name="##Macro" w:val="L"/>
    <w:docVar w:name="##Office" w:val="WDC-2"/>
    <w:docVar w:name="##Version" w:val="2"/>
    <w:docVar w:name="#AuthorName" w:val="RJ005183"/>
    <w:docVar w:name="#DNDateTime" w:val="-1"/>
    <w:docVar w:name="#DNDocDBase" w:val="-1"/>
    <w:docVar w:name="#DNDocID" w:val="AMECURRENT 725571946.2 17-Oct-17 15:06"/>
    <w:docVar w:name="#DNDocMatterNo" w:val="0"/>
    <w:docVar w:name="#DNDocVer" w:val="-1"/>
    <w:docVar w:name="#DNFOpts" w:val="optFooter2"/>
    <w:docVar w:name="#DNLine2Chk" w:val="0"/>
    <w:docVar w:name="#DNPlacement" w:val="optExceptFirst"/>
    <w:docVar w:name="#MatterNumber" w:val="06008255"/>
    <w:docVar w:name="didIDFlag" w:val="10/17/2017 3:06:53 PM"/>
  </w:docVar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BodyText"/>
    <w:qFormat/>
    <w:pPr>
      <w:keepNext/>
      <w:spacing w:after="240"/>
      <w:outlineLvl w:val="0"/>
    </w:pPr>
  </w:style>
  <w:style w:type="paragraph" w:styleId="Heading2">
    <w:name w:val="heading 2"/>
    <w:basedOn w:val="Normal"/>
    <w:next w:val="BodyText"/>
    <w:qFormat/>
    <w:pPr>
      <w:spacing w:after="240"/>
      <w:outlineLvl w:val="1"/>
    </w:pPr>
  </w:style>
  <w:style w:type="paragraph" w:styleId="Heading3">
    <w:name w:val="heading 3"/>
    <w:basedOn w:val="Normal"/>
    <w:next w:val="BodyText"/>
    <w:qFormat/>
    <w:pPr>
      <w:spacing w:after="240"/>
      <w:outlineLvl w:val="2"/>
    </w:pPr>
  </w:style>
  <w:style w:type="paragraph" w:styleId="Heading4">
    <w:name w:val="heading 4"/>
    <w:basedOn w:val="Normal"/>
    <w:next w:val="BodyText"/>
    <w:qFormat/>
    <w:pPr>
      <w:spacing w:after="240"/>
      <w:outlineLvl w:val="3"/>
    </w:pPr>
  </w:style>
  <w:style w:type="paragraph" w:styleId="Heading5">
    <w:name w:val="heading 5"/>
    <w:basedOn w:val="Normal"/>
    <w:next w:val="BodyText"/>
    <w:qFormat/>
    <w:pPr>
      <w:spacing w:after="240"/>
      <w:outlineLvl w:val="4"/>
    </w:pPr>
  </w:style>
  <w:style w:type="paragraph" w:styleId="Heading6">
    <w:name w:val="heading 6"/>
    <w:basedOn w:val="Normal"/>
    <w:next w:val="BodyText"/>
    <w:qFormat/>
    <w:pPr>
      <w:spacing w:after="240"/>
      <w:outlineLvl w:val="5"/>
    </w:pPr>
  </w:style>
  <w:style w:type="paragraph" w:styleId="Heading7">
    <w:name w:val="heading 7"/>
    <w:basedOn w:val="Normal"/>
    <w:next w:val="BodyText"/>
    <w:qFormat/>
    <w:pPr>
      <w:spacing w:after="240"/>
      <w:outlineLvl w:val="6"/>
    </w:pPr>
  </w:style>
  <w:style w:type="paragraph" w:styleId="Heading8">
    <w:name w:val="heading 8"/>
    <w:basedOn w:val="Normal"/>
    <w:next w:val="BodyText"/>
    <w:qFormat/>
    <w:pPr>
      <w:spacing w:after="240"/>
      <w:outlineLvl w:val="7"/>
    </w:pPr>
  </w:style>
  <w:style w:type="paragraph" w:styleId="Heading9">
    <w:name w:val="heading 9"/>
    <w:basedOn w:val="Normal"/>
    <w:next w:val="BodyText"/>
    <w:qFormat/>
    <w:p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ate">
    <w:name w:val="Date"/>
    <w:basedOn w:val="Normal"/>
    <w:next w:val="Normal"/>
    <w:pPr>
      <w:spacing w:before="220"/>
    </w:pPr>
  </w:style>
  <w:style w:type="paragraph" w:customStyle="1" w:styleId="Logo">
    <w:name w:val="Logo"/>
    <w:basedOn w:val="Normal"/>
    <w:pPr>
      <w:spacing w:after="280"/>
      <w:jc w:val="right"/>
    </w:pPr>
  </w:style>
  <w:style w:type="paragraph" w:customStyle="1" w:styleId="Address">
    <w:name w:val="Address"/>
    <w:basedOn w:val="Normal"/>
  </w:style>
  <w:style w:type="paragraph" w:customStyle="1" w:styleId="Subject">
    <w:name w:val="Subject"/>
    <w:basedOn w:val="Normal"/>
    <w:pPr>
      <w:spacing w:before="240" w:after="240"/>
      <w:ind w:left="720" w:hanging="720"/>
    </w:pPr>
  </w:style>
  <w:style w:type="paragraph" w:customStyle="1" w:styleId="FirmName">
    <w:name w:val="Firm Name"/>
    <w:basedOn w:val="Normal"/>
    <w:next w:val="Return"/>
    <w:pPr>
      <w:jc w:val="right"/>
    </w:pPr>
    <w:rPr>
      <w:rFonts w:ascii="Arial Narrow" w:hAnsi="Arial Narrow"/>
      <w:sz w:val="17"/>
    </w:rPr>
  </w:style>
  <w:style w:type="paragraph" w:customStyle="1" w:styleId="Return">
    <w:name w:val="Return"/>
    <w:basedOn w:val="Normal"/>
    <w:pPr>
      <w:spacing w:after="160"/>
      <w:jc w:val="right"/>
    </w:pPr>
    <w:rPr>
      <w:rFonts w:ascii="Arial Narrow" w:hAnsi="Arial Narrow"/>
      <w:sz w:val="17"/>
    </w:rPr>
  </w:style>
  <w:style w:type="paragraph" w:styleId="TableofAuthorities">
    <w:name w:val="table of authorities"/>
    <w:basedOn w:val="Normal"/>
    <w:next w:val="Normal"/>
    <w:semiHidden/>
    <w:pPr>
      <w:ind w:left="240" w:hanging="240"/>
    </w:pPr>
  </w:style>
  <w:style w:type="paragraph" w:customStyle="1" w:styleId="MainNumbers">
    <w:name w:val="Main Numbers"/>
    <w:basedOn w:val="Normal"/>
    <w:next w:val="Website"/>
    <w:pPr>
      <w:jc w:val="right"/>
    </w:pPr>
    <w:rPr>
      <w:rFonts w:ascii="Arial Narrow" w:hAnsi="Arial Narrow"/>
      <w:sz w:val="17"/>
    </w:rPr>
  </w:style>
  <w:style w:type="paragraph" w:customStyle="1" w:styleId="Website">
    <w:name w:val="Website"/>
    <w:basedOn w:val="Normal"/>
    <w:next w:val="Author"/>
    <w:pPr>
      <w:jc w:val="right"/>
    </w:pPr>
    <w:rPr>
      <w:rFonts w:ascii="Arial Narrow" w:hAnsi="Arial Narrow"/>
      <w:sz w:val="15"/>
    </w:rPr>
  </w:style>
  <w:style w:type="character" w:styleId="Hyperlink">
    <w:name w:val="Hyperlink"/>
    <w:basedOn w:val="DefaultParagraphFont"/>
    <w:rPr>
      <w:color w:val="0000FF"/>
      <w:u w:val="single"/>
    </w:rPr>
  </w:style>
  <w:style w:type="paragraph" w:customStyle="1" w:styleId="Author">
    <w:name w:val="Author"/>
    <w:basedOn w:val="Normal"/>
    <w:next w:val="AuthorInfo"/>
    <w:pPr>
      <w:spacing w:before="240"/>
      <w:jc w:val="right"/>
    </w:pPr>
    <w:rPr>
      <w:rFonts w:ascii="Arial Narrow" w:hAnsi="Arial Narrow"/>
      <w:b/>
      <w:sz w:val="20"/>
    </w:rPr>
  </w:style>
  <w:style w:type="paragraph" w:customStyle="1" w:styleId="AuthorInfo">
    <w:name w:val="Author Info"/>
    <w:basedOn w:val="Normal"/>
    <w:next w:val="E-mail"/>
    <w:pPr>
      <w:jc w:val="right"/>
    </w:pPr>
    <w:rPr>
      <w:rFonts w:ascii="Arial Narrow" w:hAnsi="Arial Narrow"/>
      <w:sz w:val="17"/>
    </w:rPr>
  </w:style>
  <w:style w:type="paragraph" w:customStyle="1" w:styleId="E-mail">
    <w:name w:val="E-mail"/>
    <w:basedOn w:val="Normal"/>
    <w:pPr>
      <w:jc w:val="right"/>
    </w:pPr>
    <w:rPr>
      <w:rFonts w:ascii="Arial Narrow" w:hAnsi="Arial Narrow"/>
      <w:sz w:val="15"/>
    </w:rPr>
  </w:style>
  <w:style w:type="paragraph" w:customStyle="1" w:styleId="Notice">
    <w:name w:val="Notice"/>
    <w:basedOn w:val="Normal"/>
    <w:rPr>
      <w:caps/>
    </w:rPr>
  </w:style>
  <w:style w:type="paragraph" w:customStyle="1" w:styleId="Draft">
    <w:name w:val="Draft"/>
    <w:basedOn w:val="Normal"/>
    <w:pPr>
      <w:spacing w:before="240"/>
    </w:pPr>
    <w:rPr>
      <w:b/>
      <w:u w:val="single"/>
    </w:rPr>
  </w:style>
  <w:style w:type="paragraph" w:customStyle="1" w:styleId="Delivery">
    <w:name w:val="Delivery"/>
    <w:basedOn w:val="Normal"/>
    <w:pPr>
      <w:spacing w:before="240" w:after="240"/>
    </w:pPr>
    <w:rPr>
      <w:caps/>
      <w:u w:val="single"/>
    </w:rPr>
  </w:style>
  <w:style w:type="paragraph" w:styleId="Salutation">
    <w:name w:val="Salutation"/>
    <w:basedOn w:val="Normal"/>
    <w:next w:val="Normal"/>
    <w:pPr>
      <w:spacing w:after="240"/>
    </w:pPr>
  </w:style>
  <w:style w:type="paragraph" w:styleId="BodyText">
    <w:name w:val="Body Text"/>
    <w:basedOn w:val="Normal"/>
    <w:pPr>
      <w:spacing w:after="240"/>
    </w:pPr>
  </w:style>
  <w:style w:type="paragraph" w:styleId="BodyText2">
    <w:name w:val="Body Text 2"/>
    <w:basedOn w:val="Normal"/>
    <w:pPr>
      <w:spacing w:after="240"/>
    </w:pPr>
    <w:rPr>
      <w:b/>
    </w:rPr>
  </w:style>
  <w:style w:type="paragraph" w:styleId="BodyText3">
    <w:name w:val="Body Text 3"/>
    <w:basedOn w:val="Normal"/>
    <w:pPr>
      <w:spacing w:after="240"/>
    </w:pPr>
  </w:style>
  <w:style w:type="paragraph" w:styleId="BodyTextFirstIndent">
    <w:name w:val="Body Text First Indent"/>
    <w:basedOn w:val="Normal"/>
    <w:pPr>
      <w:spacing w:after="240"/>
      <w:ind w:firstLine="720"/>
    </w:pPr>
  </w:style>
  <w:style w:type="paragraph" w:styleId="BodyTextIndent">
    <w:name w:val="Body Text Indent"/>
    <w:basedOn w:val="Normal"/>
    <w:pPr>
      <w:spacing w:after="240"/>
      <w:ind w:left="720"/>
    </w:pPr>
  </w:style>
  <w:style w:type="paragraph" w:styleId="BodyTextFirstIndent2">
    <w:name w:val="Body Text First Indent 2"/>
    <w:basedOn w:val="Normal"/>
    <w:pPr>
      <w:spacing w:line="480" w:lineRule="auto"/>
      <w:ind w:firstLine="720"/>
    </w:pPr>
  </w:style>
  <w:style w:type="paragraph" w:styleId="BodyTextIndent2">
    <w:name w:val="Body Text Indent 2"/>
    <w:basedOn w:val="Normal"/>
    <w:pPr>
      <w:spacing w:line="480" w:lineRule="auto"/>
      <w:ind w:left="720"/>
    </w:pPr>
  </w:style>
  <w:style w:type="paragraph" w:styleId="BodyTextIndent3">
    <w:name w:val="Body Text Indent 3"/>
    <w:basedOn w:val="Normal"/>
    <w:pPr>
      <w:spacing w:after="240"/>
      <w:ind w:left="720"/>
    </w:pPr>
  </w:style>
  <w:style w:type="paragraph" w:styleId="BlockText">
    <w:name w:val="Block Text"/>
    <w:basedOn w:val="Normal"/>
    <w:pPr>
      <w:spacing w:after="240"/>
      <w:ind w:left="1440" w:right="1440"/>
    </w:pPr>
  </w:style>
  <w:style w:type="paragraph" w:styleId="Closing">
    <w:name w:val="Closing"/>
    <w:basedOn w:val="Normal"/>
    <w:next w:val="Signature"/>
    <w:pPr>
      <w:spacing w:after="720"/>
    </w:pPr>
  </w:style>
  <w:style w:type="paragraph" w:customStyle="1" w:styleId="AuthorInitials">
    <w:name w:val="Author Initials"/>
    <w:basedOn w:val="Normal"/>
    <w:next w:val="Encl-Attach"/>
    <w:pPr>
      <w:spacing w:after="240"/>
    </w:pPr>
  </w:style>
  <w:style w:type="paragraph" w:styleId="Signature">
    <w:name w:val="Signature"/>
    <w:basedOn w:val="Normal"/>
    <w:next w:val="AuthorInitials"/>
    <w:pPr>
      <w:spacing w:after="240"/>
    </w:pPr>
  </w:style>
  <w:style w:type="paragraph" w:customStyle="1" w:styleId="Encl-Attach">
    <w:name w:val="Encl-Attach"/>
    <w:basedOn w:val="Normal"/>
    <w:next w:val="cc-bcc"/>
  </w:style>
  <w:style w:type="paragraph" w:customStyle="1" w:styleId="cc-bcc">
    <w:name w:val="cc-bcc"/>
    <w:basedOn w:val="Normal"/>
    <w:pPr>
      <w:ind w:left="720" w:hanging="720"/>
    </w:pPr>
  </w:style>
  <w:style w:type="paragraph" w:styleId="Header">
    <w:name w:val="header"/>
    <w:basedOn w:val="Normal"/>
    <w:pPr>
      <w:tabs>
        <w:tab w:val="center" w:pos="4680"/>
        <w:tab w:val="right" w:pos="9360"/>
      </w:tabs>
    </w:pPr>
  </w:style>
  <w:style w:type="paragraph" w:styleId="Footer">
    <w:name w:val="footer"/>
    <w:basedOn w:val="Normal"/>
    <w:pPr>
      <w:tabs>
        <w:tab w:val="center" w:pos="4680"/>
        <w:tab w:val="right" w:pos="9360"/>
      </w:tabs>
    </w:pPr>
  </w:style>
  <w:style w:type="paragraph" w:customStyle="1" w:styleId="Offices">
    <w:name w:val="Offices"/>
    <w:basedOn w:val="Normal"/>
    <w:next w:val="Disclaimer"/>
    <w:pPr>
      <w:spacing w:before="360"/>
      <w:jc w:val="center"/>
    </w:pPr>
    <w:rPr>
      <w:rFonts w:ascii="Arial Narrow" w:hAnsi="Arial Narrow"/>
      <w:sz w:val="17"/>
    </w:rPr>
  </w:style>
  <w:style w:type="paragraph" w:customStyle="1" w:styleId="Disclaimer">
    <w:name w:val="Disclaimer"/>
    <w:basedOn w:val="Normal"/>
    <w:pPr>
      <w:spacing w:before="120"/>
      <w:jc w:val="center"/>
    </w:pPr>
    <w:rPr>
      <w:rFonts w:ascii="Arial Narrow" w:hAnsi="Arial Narrow"/>
      <w:sz w:val="17"/>
    </w:rPr>
  </w:style>
  <w:style w:type="paragraph" w:customStyle="1" w:styleId="FirmName2">
    <w:name w:val="Firm Name 2"/>
    <w:basedOn w:val="Normal"/>
    <w:rPr>
      <w:rFonts w:ascii="Arial" w:hAnsi="Arial"/>
    </w:rPr>
  </w:style>
  <w:style w:type="paragraph" w:customStyle="1" w:styleId="HeaderInfo">
    <w:name w:val="Header Info"/>
    <w:basedOn w:val="Normal"/>
    <w:pPr>
      <w:ind w:left="432"/>
    </w:pPr>
  </w:style>
  <w:style w:type="paragraph" w:customStyle="1" w:styleId="Notice2">
    <w:name w:val="Notice 2"/>
    <w:basedOn w:val="Normal"/>
    <w:pPr>
      <w:jc w:val="right"/>
    </w:pPr>
    <w:rPr>
      <w:caps/>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tyle>
  <w:style w:type="paragraph" w:styleId="FootnoteText">
    <w:name w:val="footnote text"/>
    <w:basedOn w:val="Normal"/>
    <w:semiHidden/>
    <w:pPr>
      <w:spacing w:after="120"/>
    </w:pPr>
    <w:rPr>
      <w:szCs w:val="20"/>
    </w:rPr>
  </w:style>
  <w:style w:type="character" w:styleId="FootnoteReference">
    <w:name w:val="footnote reference"/>
    <w:basedOn w:val="DefaultParagraphFont"/>
    <w:semiHidden/>
    <w:rPr>
      <w:vertAlign w:val="superscript"/>
    </w:rPr>
  </w:style>
  <w:style w:type="paragraph" w:styleId="Title">
    <w:name w:val="Title"/>
    <w:basedOn w:val="Normal"/>
    <w:qFormat/>
    <w:pPr>
      <w:spacing w:after="240"/>
      <w:jc w:val="center"/>
      <w:outlineLvl w:val="0"/>
    </w:pPr>
    <w:rPr>
      <w:rFonts w:cs="Arial"/>
      <w:b/>
      <w:bCs/>
      <w:sz w:val="28"/>
      <w:szCs w:val="28"/>
    </w:rPr>
  </w:style>
  <w:style w:type="paragraph" w:styleId="Subtitle">
    <w:name w:val="Subtitle"/>
    <w:basedOn w:val="Normal"/>
    <w:qFormat/>
    <w:pPr>
      <w:spacing w:after="240"/>
      <w:outlineLvl w:val="1"/>
    </w:pPr>
    <w:rPr>
      <w:rFonts w:cs="Arial"/>
      <w:b/>
      <w:sz w:val="32"/>
    </w:rPr>
  </w:style>
  <w:style w:type="paragraph" w:customStyle="1" w:styleId="Title2">
    <w:name w:val="Title 2"/>
    <w:basedOn w:val="Normal"/>
    <w:next w:val="BodyText"/>
    <w:pPr>
      <w:spacing w:after="240"/>
      <w:jc w:val="center"/>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BodyText"/>
    <w:qFormat/>
    <w:pPr>
      <w:keepNext/>
      <w:spacing w:after="240"/>
      <w:outlineLvl w:val="0"/>
    </w:pPr>
  </w:style>
  <w:style w:type="paragraph" w:styleId="Heading2">
    <w:name w:val="heading 2"/>
    <w:basedOn w:val="Normal"/>
    <w:next w:val="BodyText"/>
    <w:qFormat/>
    <w:pPr>
      <w:spacing w:after="240"/>
      <w:outlineLvl w:val="1"/>
    </w:pPr>
  </w:style>
  <w:style w:type="paragraph" w:styleId="Heading3">
    <w:name w:val="heading 3"/>
    <w:basedOn w:val="Normal"/>
    <w:next w:val="BodyText"/>
    <w:qFormat/>
    <w:pPr>
      <w:spacing w:after="240"/>
      <w:outlineLvl w:val="2"/>
    </w:pPr>
  </w:style>
  <w:style w:type="paragraph" w:styleId="Heading4">
    <w:name w:val="heading 4"/>
    <w:basedOn w:val="Normal"/>
    <w:next w:val="BodyText"/>
    <w:qFormat/>
    <w:pPr>
      <w:spacing w:after="240"/>
      <w:outlineLvl w:val="3"/>
    </w:pPr>
  </w:style>
  <w:style w:type="paragraph" w:styleId="Heading5">
    <w:name w:val="heading 5"/>
    <w:basedOn w:val="Normal"/>
    <w:next w:val="BodyText"/>
    <w:qFormat/>
    <w:pPr>
      <w:spacing w:after="240"/>
      <w:outlineLvl w:val="4"/>
    </w:pPr>
  </w:style>
  <w:style w:type="paragraph" w:styleId="Heading6">
    <w:name w:val="heading 6"/>
    <w:basedOn w:val="Normal"/>
    <w:next w:val="BodyText"/>
    <w:qFormat/>
    <w:pPr>
      <w:spacing w:after="240"/>
      <w:outlineLvl w:val="5"/>
    </w:pPr>
  </w:style>
  <w:style w:type="paragraph" w:styleId="Heading7">
    <w:name w:val="heading 7"/>
    <w:basedOn w:val="Normal"/>
    <w:next w:val="BodyText"/>
    <w:qFormat/>
    <w:pPr>
      <w:spacing w:after="240"/>
      <w:outlineLvl w:val="6"/>
    </w:pPr>
  </w:style>
  <w:style w:type="paragraph" w:styleId="Heading8">
    <w:name w:val="heading 8"/>
    <w:basedOn w:val="Normal"/>
    <w:next w:val="BodyText"/>
    <w:qFormat/>
    <w:pPr>
      <w:spacing w:after="240"/>
      <w:outlineLvl w:val="7"/>
    </w:pPr>
  </w:style>
  <w:style w:type="paragraph" w:styleId="Heading9">
    <w:name w:val="heading 9"/>
    <w:basedOn w:val="Normal"/>
    <w:next w:val="BodyText"/>
    <w:qFormat/>
    <w:p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Normal"/>
    <w:pPr>
      <w:spacing w:before="220"/>
    </w:pPr>
  </w:style>
  <w:style w:type="paragraph" w:customStyle="1" w:styleId="Logo">
    <w:name w:val="Logo"/>
    <w:basedOn w:val="Normal"/>
    <w:pPr>
      <w:spacing w:after="280"/>
      <w:jc w:val="right"/>
    </w:pPr>
  </w:style>
  <w:style w:type="paragraph" w:customStyle="1" w:styleId="Address">
    <w:name w:val="Address"/>
    <w:basedOn w:val="Normal"/>
  </w:style>
  <w:style w:type="paragraph" w:customStyle="1" w:styleId="Subject">
    <w:name w:val="Subject"/>
    <w:basedOn w:val="Normal"/>
    <w:pPr>
      <w:spacing w:before="240" w:after="240"/>
      <w:ind w:left="720" w:hanging="720"/>
    </w:pPr>
  </w:style>
  <w:style w:type="paragraph" w:customStyle="1" w:styleId="FirmName">
    <w:name w:val="Firm Name"/>
    <w:basedOn w:val="Normal"/>
    <w:next w:val="Return"/>
    <w:pPr>
      <w:jc w:val="right"/>
    </w:pPr>
    <w:rPr>
      <w:rFonts w:ascii="Arial Narrow" w:hAnsi="Arial Narrow"/>
      <w:sz w:val="17"/>
    </w:rPr>
  </w:style>
  <w:style w:type="paragraph" w:customStyle="1" w:styleId="Return">
    <w:name w:val="Return"/>
    <w:basedOn w:val="Normal"/>
    <w:pPr>
      <w:spacing w:after="160"/>
      <w:jc w:val="right"/>
    </w:pPr>
    <w:rPr>
      <w:rFonts w:ascii="Arial Narrow" w:hAnsi="Arial Narrow"/>
      <w:sz w:val="17"/>
    </w:rPr>
  </w:style>
  <w:style w:type="paragraph" w:styleId="TableofAuthorities">
    <w:name w:val="table of authorities"/>
    <w:basedOn w:val="Normal"/>
    <w:next w:val="Normal"/>
    <w:semiHidden/>
    <w:pPr>
      <w:ind w:left="240" w:hanging="240"/>
    </w:pPr>
  </w:style>
  <w:style w:type="paragraph" w:customStyle="1" w:styleId="MainNumbers">
    <w:name w:val="Main Numbers"/>
    <w:basedOn w:val="Normal"/>
    <w:next w:val="Website"/>
    <w:pPr>
      <w:jc w:val="right"/>
    </w:pPr>
    <w:rPr>
      <w:rFonts w:ascii="Arial Narrow" w:hAnsi="Arial Narrow"/>
      <w:sz w:val="17"/>
    </w:rPr>
  </w:style>
  <w:style w:type="paragraph" w:customStyle="1" w:styleId="Website">
    <w:name w:val="Website"/>
    <w:basedOn w:val="Normal"/>
    <w:next w:val="Author"/>
    <w:pPr>
      <w:jc w:val="right"/>
    </w:pPr>
    <w:rPr>
      <w:rFonts w:ascii="Arial Narrow" w:hAnsi="Arial Narrow"/>
      <w:sz w:val="15"/>
    </w:rPr>
  </w:style>
  <w:style w:type="character" w:styleId="Hyperlink">
    <w:name w:val="Hyperlink"/>
    <w:basedOn w:val="DefaultParagraphFont"/>
    <w:rPr>
      <w:color w:val="0000FF"/>
      <w:u w:val="single"/>
    </w:rPr>
  </w:style>
  <w:style w:type="paragraph" w:customStyle="1" w:styleId="Author">
    <w:name w:val="Author"/>
    <w:basedOn w:val="Normal"/>
    <w:next w:val="AuthorInfo"/>
    <w:pPr>
      <w:spacing w:before="240"/>
      <w:jc w:val="right"/>
    </w:pPr>
    <w:rPr>
      <w:rFonts w:ascii="Arial Narrow" w:hAnsi="Arial Narrow"/>
      <w:b/>
      <w:sz w:val="20"/>
    </w:rPr>
  </w:style>
  <w:style w:type="paragraph" w:customStyle="1" w:styleId="AuthorInfo">
    <w:name w:val="Author Info"/>
    <w:basedOn w:val="Normal"/>
    <w:next w:val="E-mail"/>
    <w:pPr>
      <w:jc w:val="right"/>
    </w:pPr>
    <w:rPr>
      <w:rFonts w:ascii="Arial Narrow" w:hAnsi="Arial Narrow"/>
      <w:sz w:val="17"/>
    </w:rPr>
  </w:style>
  <w:style w:type="paragraph" w:customStyle="1" w:styleId="E-mail">
    <w:name w:val="E-mail"/>
    <w:basedOn w:val="Normal"/>
    <w:pPr>
      <w:jc w:val="right"/>
    </w:pPr>
    <w:rPr>
      <w:rFonts w:ascii="Arial Narrow" w:hAnsi="Arial Narrow"/>
      <w:sz w:val="15"/>
    </w:rPr>
  </w:style>
  <w:style w:type="paragraph" w:customStyle="1" w:styleId="Notice">
    <w:name w:val="Notice"/>
    <w:basedOn w:val="Normal"/>
    <w:rPr>
      <w:caps/>
    </w:rPr>
  </w:style>
  <w:style w:type="paragraph" w:customStyle="1" w:styleId="Draft">
    <w:name w:val="Draft"/>
    <w:basedOn w:val="Normal"/>
    <w:pPr>
      <w:spacing w:before="240"/>
    </w:pPr>
    <w:rPr>
      <w:b/>
      <w:u w:val="single"/>
    </w:rPr>
  </w:style>
  <w:style w:type="paragraph" w:customStyle="1" w:styleId="Delivery">
    <w:name w:val="Delivery"/>
    <w:basedOn w:val="Normal"/>
    <w:pPr>
      <w:spacing w:before="240" w:after="240"/>
    </w:pPr>
    <w:rPr>
      <w:caps/>
      <w:u w:val="single"/>
    </w:rPr>
  </w:style>
  <w:style w:type="paragraph" w:styleId="Salutation">
    <w:name w:val="Salutation"/>
    <w:basedOn w:val="Normal"/>
    <w:next w:val="Normal"/>
    <w:pPr>
      <w:spacing w:after="240"/>
    </w:pPr>
  </w:style>
  <w:style w:type="paragraph" w:styleId="BodyText">
    <w:name w:val="Body Text"/>
    <w:basedOn w:val="Normal"/>
    <w:pPr>
      <w:spacing w:after="240"/>
    </w:pPr>
  </w:style>
  <w:style w:type="paragraph" w:styleId="BodyText2">
    <w:name w:val="Body Text 2"/>
    <w:basedOn w:val="Normal"/>
    <w:pPr>
      <w:spacing w:after="240"/>
    </w:pPr>
    <w:rPr>
      <w:b/>
    </w:rPr>
  </w:style>
  <w:style w:type="paragraph" w:styleId="BodyText3">
    <w:name w:val="Body Text 3"/>
    <w:basedOn w:val="Normal"/>
    <w:pPr>
      <w:spacing w:after="240"/>
    </w:pPr>
  </w:style>
  <w:style w:type="paragraph" w:styleId="BodyTextFirstIndent">
    <w:name w:val="Body Text First Indent"/>
    <w:basedOn w:val="Normal"/>
    <w:pPr>
      <w:spacing w:after="240"/>
      <w:ind w:firstLine="720"/>
    </w:pPr>
  </w:style>
  <w:style w:type="paragraph" w:styleId="BodyTextIndent">
    <w:name w:val="Body Text Indent"/>
    <w:basedOn w:val="Normal"/>
    <w:pPr>
      <w:spacing w:after="240"/>
      <w:ind w:left="720"/>
    </w:pPr>
  </w:style>
  <w:style w:type="paragraph" w:styleId="BodyTextFirstIndent2">
    <w:name w:val="Body Text First Indent 2"/>
    <w:basedOn w:val="Normal"/>
    <w:pPr>
      <w:spacing w:line="480" w:lineRule="auto"/>
      <w:ind w:firstLine="720"/>
    </w:pPr>
  </w:style>
  <w:style w:type="paragraph" w:styleId="BodyTextIndent2">
    <w:name w:val="Body Text Indent 2"/>
    <w:basedOn w:val="Normal"/>
    <w:pPr>
      <w:spacing w:line="480" w:lineRule="auto"/>
      <w:ind w:left="720"/>
    </w:pPr>
  </w:style>
  <w:style w:type="paragraph" w:styleId="BodyTextIndent3">
    <w:name w:val="Body Text Indent 3"/>
    <w:basedOn w:val="Normal"/>
    <w:pPr>
      <w:spacing w:after="240"/>
      <w:ind w:left="720"/>
    </w:pPr>
  </w:style>
  <w:style w:type="paragraph" w:styleId="BlockText">
    <w:name w:val="Block Text"/>
    <w:basedOn w:val="Normal"/>
    <w:pPr>
      <w:spacing w:after="240"/>
      <w:ind w:left="1440" w:right="1440"/>
    </w:pPr>
  </w:style>
  <w:style w:type="paragraph" w:styleId="Closing">
    <w:name w:val="Closing"/>
    <w:basedOn w:val="Normal"/>
    <w:next w:val="Signature"/>
    <w:pPr>
      <w:spacing w:after="720"/>
    </w:pPr>
  </w:style>
  <w:style w:type="paragraph" w:customStyle="1" w:styleId="AuthorInitials">
    <w:name w:val="Author Initials"/>
    <w:basedOn w:val="Normal"/>
    <w:next w:val="Encl-Attach"/>
    <w:pPr>
      <w:spacing w:after="240"/>
    </w:pPr>
  </w:style>
  <w:style w:type="paragraph" w:styleId="Signature">
    <w:name w:val="Signature"/>
    <w:basedOn w:val="Normal"/>
    <w:next w:val="AuthorInitials"/>
    <w:pPr>
      <w:spacing w:after="240"/>
    </w:pPr>
  </w:style>
  <w:style w:type="paragraph" w:customStyle="1" w:styleId="Encl-Attach">
    <w:name w:val="Encl-Attach"/>
    <w:basedOn w:val="Normal"/>
    <w:next w:val="cc-bcc"/>
  </w:style>
  <w:style w:type="paragraph" w:customStyle="1" w:styleId="cc-bcc">
    <w:name w:val="cc-bcc"/>
    <w:basedOn w:val="Normal"/>
    <w:pPr>
      <w:ind w:left="720" w:hanging="720"/>
    </w:pPr>
  </w:style>
  <w:style w:type="paragraph" w:styleId="Header">
    <w:name w:val="header"/>
    <w:basedOn w:val="Normal"/>
    <w:pPr>
      <w:tabs>
        <w:tab w:val="center" w:pos="4680"/>
        <w:tab w:val="right" w:pos="9360"/>
      </w:tabs>
    </w:pPr>
  </w:style>
  <w:style w:type="paragraph" w:styleId="Footer">
    <w:name w:val="footer"/>
    <w:basedOn w:val="Normal"/>
    <w:pPr>
      <w:tabs>
        <w:tab w:val="center" w:pos="4680"/>
        <w:tab w:val="right" w:pos="9360"/>
      </w:tabs>
    </w:pPr>
  </w:style>
  <w:style w:type="paragraph" w:customStyle="1" w:styleId="Offices">
    <w:name w:val="Offices"/>
    <w:basedOn w:val="Normal"/>
    <w:next w:val="Disclaimer"/>
    <w:pPr>
      <w:spacing w:before="360"/>
      <w:jc w:val="center"/>
    </w:pPr>
    <w:rPr>
      <w:rFonts w:ascii="Arial Narrow" w:hAnsi="Arial Narrow"/>
      <w:sz w:val="17"/>
    </w:rPr>
  </w:style>
  <w:style w:type="paragraph" w:customStyle="1" w:styleId="Disclaimer">
    <w:name w:val="Disclaimer"/>
    <w:basedOn w:val="Normal"/>
    <w:pPr>
      <w:spacing w:before="120"/>
      <w:jc w:val="center"/>
    </w:pPr>
    <w:rPr>
      <w:rFonts w:ascii="Arial Narrow" w:hAnsi="Arial Narrow"/>
      <w:sz w:val="17"/>
    </w:rPr>
  </w:style>
  <w:style w:type="paragraph" w:customStyle="1" w:styleId="FirmName2">
    <w:name w:val="Firm Name 2"/>
    <w:basedOn w:val="Normal"/>
    <w:rPr>
      <w:rFonts w:ascii="Arial" w:hAnsi="Arial"/>
    </w:rPr>
  </w:style>
  <w:style w:type="paragraph" w:customStyle="1" w:styleId="HeaderInfo">
    <w:name w:val="Header Info"/>
    <w:basedOn w:val="Normal"/>
    <w:pPr>
      <w:ind w:left="432"/>
    </w:pPr>
  </w:style>
  <w:style w:type="paragraph" w:customStyle="1" w:styleId="Notice2">
    <w:name w:val="Notice 2"/>
    <w:basedOn w:val="Normal"/>
    <w:pPr>
      <w:jc w:val="right"/>
    </w:pPr>
    <w:rPr>
      <w:caps/>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tyle>
  <w:style w:type="paragraph" w:styleId="FootnoteText">
    <w:name w:val="footnote text"/>
    <w:basedOn w:val="Normal"/>
    <w:semiHidden/>
    <w:rPr>
      <w:sz w:val="20"/>
      <w:szCs w:val="20"/>
    </w:rPr>
  </w:style>
  <w:style w:type="character" w:styleId="FootnoteReference">
    <w:name w:val="footnote reference"/>
    <w:basedOn w:val="DefaultParagraphFont"/>
    <w:semiHidden/>
    <w:rPr>
      <w:vertAlign w:val="superscript"/>
    </w:rPr>
  </w:style>
  <w:style w:type="paragraph" w:styleId="Title">
    <w:name w:val="Title"/>
    <w:basedOn w:val="Normal"/>
    <w:qFormat/>
    <w:pPr>
      <w:spacing w:after="240"/>
      <w:jc w:val="center"/>
      <w:outlineLvl w:val="0"/>
    </w:pPr>
    <w:rPr>
      <w:rFonts w:cs="Arial"/>
      <w:b/>
      <w:bCs/>
      <w:sz w:val="28"/>
      <w:szCs w:val="28"/>
    </w:rPr>
  </w:style>
  <w:style w:type="paragraph" w:styleId="Subtitle">
    <w:name w:val="Subtitle"/>
    <w:basedOn w:val="Normal"/>
    <w:qFormat/>
    <w:pPr>
      <w:spacing w:after="240"/>
      <w:outlineLvl w:val="1"/>
    </w:pPr>
    <w:rPr>
      <w:rFonts w:cs="Arial"/>
      <w:b/>
      <w:sz w:val="32"/>
    </w:rPr>
  </w:style>
  <w:style w:type="paragraph" w:customStyle="1" w:styleId="Title2">
    <w:name w:val="Title 2"/>
    <w:basedOn w:val="Normal"/>
    <w:next w:val="BodyText"/>
    <w:pPr>
      <w:spacing w:after="240"/>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Firm\O2K7Templates\Ltr%20U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F1CA75-7EE4-4599-95BC-EE25948D1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Ltr US.dotx</Template>
  <TotalTime>333</TotalTime>
  <Pages>1</Pages>
  <Words>983</Words>
  <Characters>4409</Characters>
  <Application>Microsoft Office Word</Application>
  <DocSecurity>0</DocSecurity>
  <Lines>200</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as008729</dc:creator>
  <cp:lastModifiedBy>as008729</cp:lastModifiedBy>
  <cp:revision>23</cp:revision>
  <cp:lastPrinted>2017-10-17T18:58:00Z</cp:lastPrinted>
  <dcterms:created xsi:type="dcterms:W3CDTF">2017-10-16T17:30:00Z</dcterms:created>
  <dcterms:modified xsi:type="dcterms:W3CDTF">2017-10-18T16:21:00Z</dcterms:modified>
</cp:coreProperties>
</file>