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D56" w:rsidRDefault="00CF3D56" w:rsidP="00CF3D56">
      <w:pPr>
        <w:jc w:val="center"/>
        <w:rPr>
          <w:noProof/>
        </w:rPr>
      </w:pPr>
      <w:r w:rsidRPr="00CF3D56">
        <w:rPr>
          <w:noProof/>
        </w:rPr>
        <w:drawing>
          <wp:inline distT="0" distB="0" distL="0" distR="0">
            <wp:extent cx="1352550" cy="1500996"/>
            <wp:effectExtent l="19050" t="0" r="0" b="0"/>
            <wp:docPr id="3" name="Picture 0" descr="sc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es.jpg"/>
                    <pic:cNvPicPr/>
                  </pic:nvPicPr>
                  <pic:blipFill>
                    <a:blip r:embed="rId4" cstate="print"/>
                    <a:stretch>
                      <a:fillRect/>
                    </a:stretch>
                  </pic:blipFill>
                  <pic:spPr>
                    <a:xfrm>
                      <a:off x="0" y="0"/>
                      <a:ext cx="1352959" cy="1501450"/>
                    </a:xfrm>
                    <a:prstGeom prst="rect">
                      <a:avLst/>
                    </a:prstGeom>
                  </pic:spPr>
                </pic:pic>
              </a:graphicData>
            </a:graphic>
          </wp:inline>
        </w:drawing>
      </w:r>
    </w:p>
    <w:p w:rsidR="00CD2945" w:rsidRPr="001D358E" w:rsidRDefault="00CF3D56" w:rsidP="00CF3D56">
      <w:pPr>
        <w:jc w:val="center"/>
        <w:rPr>
          <w:b/>
          <w:sz w:val="28"/>
          <w:szCs w:val="28"/>
        </w:rPr>
      </w:pPr>
      <w:r w:rsidRPr="001D358E">
        <w:rPr>
          <w:b/>
          <w:sz w:val="28"/>
          <w:szCs w:val="28"/>
        </w:rPr>
        <w:t xml:space="preserve">Equal Justice </w:t>
      </w:r>
      <w:proofErr w:type="gramStart"/>
      <w:r w:rsidRPr="001D358E">
        <w:rPr>
          <w:b/>
          <w:sz w:val="28"/>
          <w:szCs w:val="28"/>
        </w:rPr>
        <w:t>For</w:t>
      </w:r>
      <w:proofErr w:type="gramEnd"/>
      <w:r w:rsidRPr="001D358E">
        <w:rPr>
          <w:b/>
          <w:sz w:val="28"/>
          <w:szCs w:val="28"/>
        </w:rPr>
        <w:t xml:space="preserve"> All</w:t>
      </w:r>
    </w:p>
    <w:p w:rsidR="00CF3D56" w:rsidRPr="001D358E" w:rsidRDefault="00CF3D56" w:rsidP="00CF3D56">
      <w:pPr>
        <w:jc w:val="center"/>
        <w:rPr>
          <w:b/>
          <w:sz w:val="36"/>
          <w:szCs w:val="36"/>
        </w:rPr>
      </w:pPr>
      <w:r w:rsidRPr="001D358E">
        <w:rPr>
          <w:b/>
          <w:sz w:val="36"/>
          <w:szCs w:val="36"/>
        </w:rPr>
        <w:t>National Association of Reversionary Property Owners</w:t>
      </w:r>
      <w:r w:rsidR="00967B3C" w:rsidRPr="001D358E">
        <w:rPr>
          <w:b/>
          <w:sz w:val="36"/>
          <w:szCs w:val="36"/>
        </w:rPr>
        <w:t xml:space="preserve"> (NARPO)</w:t>
      </w:r>
      <w:r w:rsidR="0025231F">
        <w:rPr>
          <w:b/>
          <w:sz w:val="36"/>
          <w:szCs w:val="36"/>
        </w:rPr>
        <w:t xml:space="preserve"> </w:t>
      </w:r>
      <w:r w:rsidR="0025231F" w:rsidRPr="0025231F">
        <w:rPr>
          <w:b/>
          <w:sz w:val="24"/>
          <w:szCs w:val="24"/>
        </w:rPr>
        <w:t>IRS 501</w:t>
      </w:r>
      <w:r w:rsidR="0025231F">
        <w:rPr>
          <w:b/>
          <w:sz w:val="24"/>
          <w:szCs w:val="24"/>
        </w:rPr>
        <w:t xml:space="preserve"> (c</w:t>
      </w:r>
      <w:proofErr w:type="gramStart"/>
      <w:r w:rsidR="0025231F">
        <w:rPr>
          <w:b/>
          <w:sz w:val="24"/>
          <w:szCs w:val="24"/>
        </w:rPr>
        <w:t>)</w:t>
      </w:r>
      <w:r w:rsidR="0025231F" w:rsidRPr="0025231F">
        <w:rPr>
          <w:b/>
          <w:sz w:val="24"/>
          <w:szCs w:val="24"/>
        </w:rPr>
        <w:t>(</w:t>
      </w:r>
      <w:proofErr w:type="gramEnd"/>
      <w:r w:rsidR="0025231F" w:rsidRPr="0025231F">
        <w:rPr>
          <w:b/>
          <w:sz w:val="24"/>
          <w:szCs w:val="24"/>
        </w:rPr>
        <w:t>3)</w:t>
      </w:r>
    </w:p>
    <w:p w:rsidR="001A78D4" w:rsidRDefault="00264952" w:rsidP="00967B3C">
      <w:pPr>
        <w:spacing w:after="0"/>
        <w:jc w:val="center"/>
        <w:rPr>
          <w:sz w:val="24"/>
          <w:szCs w:val="24"/>
        </w:rPr>
      </w:pPr>
      <w:r>
        <w:rPr>
          <w:sz w:val="24"/>
          <w:szCs w:val="24"/>
        </w:rPr>
        <w:t>1100 Bellevue Way NE Ste.8A PMB 719</w:t>
      </w:r>
    </w:p>
    <w:p w:rsidR="00264952" w:rsidRDefault="00264952" w:rsidP="00967B3C">
      <w:pPr>
        <w:spacing w:after="0"/>
        <w:jc w:val="center"/>
        <w:rPr>
          <w:sz w:val="24"/>
          <w:szCs w:val="24"/>
        </w:rPr>
      </w:pPr>
      <w:r>
        <w:rPr>
          <w:sz w:val="24"/>
          <w:szCs w:val="24"/>
        </w:rPr>
        <w:t>Bellevue, WA  98004</w:t>
      </w:r>
    </w:p>
    <w:p w:rsidR="00264952" w:rsidRDefault="00264952" w:rsidP="00967B3C">
      <w:pPr>
        <w:spacing w:after="0"/>
        <w:jc w:val="center"/>
        <w:rPr>
          <w:sz w:val="24"/>
          <w:szCs w:val="24"/>
        </w:rPr>
      </w:pPr>
      <w:r>
        <w:rPr>
          <w:sz w:val="24"/>
          <w:szCs w:val="24"/>
        </w:rPr>
        <w:t>dick156@earthlink.net</w:t>
      </w:r>
    </w:p>
    <w:p w:rsidR="00967B3C" w:rsidRDefault="00967B3C" w:rsidP="00CF3D56">
      <w:pPr>
        <w:jc w:val="center"/>
        <w:rPr>
          <w:sz w:val="24"/>
          <w:szCs w:val="24"/>
        </w:rPr>
      </w:pPr>
      <w:r>
        <w:rPr>
          <w:sz w:val="24"/>
          <w:szCs w:val="24"/>
        </w:rPr>
        <w:t>760-238-8420</w:t>
      </w:r>
    </w:p>
    <w:p w:rsidR="00967B3C" w:rsidRDefault="00A27598" w:rsidP="00264952">
      <w:pPr>
        <w:spacing w:after="0"/>
        <w:jc w:val="both"/>
        <w:rPr>
          <w:sz w:val="28"/>
          <w:szCs w:val="28"/>
        </w:rPr>
      </w:pPr>
      <w:r>
        <w:rPr>
          <w:sz w:val="28"/>
          <w:szCs w:val="28"/>
        </w:rPr>
        <w:t xml:space="preserve">February </w:t>
      </w:r>
      <w:r w:rsidR="00264952">
        <w:rPr>
          <w:sz w:val="28"/>
          <w:szCs w:val="28"/>
        </w:rPr>
        <w:t>20</w:t>
      </w:r>
      <w:r>
        <w:rPr>
          <w:sz w:val="28"/>
          <w:szCs w:val="28"/>
        </w:rPr>
        <w:t>, 20</w:t>
      </w:r>
      <w:r w:rsidR="00264952">
        <w:rPr>
          <w:sz w:val="28"/>
          <w:szCs w:val="28"/>
        </w:rPr>
        <w:t>20</w:t>
      </w:r>
    </w:p>
    <w:p w:rsidR="00A27598" w:rsidRPr="00264952" w:rsidRDefault="00A27598" w:rsidP="00967B3C">
      <w:pPr>
        <w:spacing w:after="0"/>
        <w:jc w:val="both"/>
        <w:rPr>
          <w:sz w:val="20"/>
          <w:szCs w:val="20"/>
        </w:rPr>
      </w:pPr>
    </w:p>
    <w:p w:rsidR="00A27598" w:rsidRDefault="00264952" w:rsidP="00264952">
      <w:pPr>
        <w:shd w:val="clear" w:color="auto" w:fill="F8F8F8"/>
        <w:spacing w:after="0" w:line="240" w:lineRule="auto"/>
        <w:rPr>
          <w:rFonts w:eastAsia="Times New Roman" w:cs="Arial"/>
          <w:b/>
          <w:bCs/>
          <w:color w:val="222222"/>
          <w:sz w:val="28"/>
          <w:szCs w:val="28"/>
        </w:rPr>
      </w:pPr>
      <w:r>
        <w:rPr>
          <w:rFonts w:eastAsia="Times New Roman" w:cs="Arial"/>
          <w:b/>
          <w:bCs/>
          <w:color w:val="222222"/>
          <w:sz w:val="28"/>
          <w:szCs w:val="28"/>
        </w:rPr>
        <w:t>STB, Office of Proceedings</w:t>
      </w:r>
    </w:p>
    <w:p w:rsidR="00264952" w:rsidRDefault="00264952" w:rsidP="00264952">
      <w:pPr>
        <w:shd w:val="clear" w:color="auto" w:fill="F8F8F8"/>
        <w:spacing w:after="0" w:line="240" w:lineRule="auto"/>
        <w:rPr>
          <w:rFonts w:eastAsia="Times New Roman" w:cs="Arial"/>
          <w:b/>
          <w:bCs/>
          <w:color w:val="222222"/>
          <w:sz w:val="28"/>
          <w:szCs w:val="28"/>
        </w:rPr>
      </w:pPr>
      <w:r>
        <w:rPr>
          <w:rFonts w:eastAsia="Times New Roman" w:cs="Arial"/>
          <w:b/>
          <w:bCs/>
          <w:color w:val="222222"/>
          <w:sz w:val="28"/>
          <w:szCs w:val="28"/>
        </w:rPr>
        <w:t>Washington, DC 20423</w:t>
      </w:r>
    </w:p>
    <w:p w:rsidR="00264952" w:rsidRDefault="00264952" w:rsidP="00264952">
      <w:pPr>
        <w:shd w:val="clear" w:color="auto" w:fill="F8F8F8"/>
        <w:spacing w:after="0" w:line="240" w:lineRule="auto"/>
        <w:rPr>
          <w:rFonts w:eastAsia="Times New Roman" w:cs="Arial"/>
          <w:b/>
          <w:bCs/>
          <w:color w:val="222222"/>
          <w:sz w:val="28"/>
          <w:szCs w:val="28"/>
        </w:rPr>
      </w:pPr>
    </w:p>
    <w:p w:rsidR="00264952" w:rsidRPr="00A27598" w:rsidRDefault="00264952" w:rsidP="00264952">
      <w:pPr>
        <w:shd w:val="clear" w:color="auto" w:fill="F8F8F8"/>
        <w:spacing w:after="0" w:line="240" w:lineRule="auto"/>
        <w:rPr>
          <w:rFonts w:eastAsia="Times New Roman" w:cs="Arial"/>
          <w:color w:val="444444"/>
          <w:sz w:val="28"/>
          <w:szCs w:val="28"/>
        </w:rPr>
      </w:pPr>
      <w:r>
        <w:rPr>
          <w:rFonts w:eastAsia="Times New Roman" w:cs="Arial"/>
          <w:b/>
          <w:bCs/>
          <w:color w:val="222222"/>
          <w:sz w:val="28"/>
          <w:szCs w:val="28"/>
        </w:rPr>
        <w:tab/>
      </w:r>
      <w:r>
        <w:rPr>
          <w:rFonts w:eastAsia="Times New Roman" w:cs="Arial"/>
          <w:b/>
          <w:bCs/>
          <w:color w:val="222222"/>
          <w:sz w:val="28"/>
          <w:szCs w:val="28"/>
        </w:rPr>
        <w:tab/>
      </w:r>
      <w:r>
        <w:rPr>
          <w:rFonts w:eastAsia="Times New Roman" w:cs="Arial"/>
          <w:b/>
          <w:bCs/>
          <w:color w:val="222222"/>
          <w:sz w:val="28"/>
          <w:szCs w:val="28"/>
        </w:rPr>
        <w:tab/>
        <w:t>AB 290-335X    Comment on Request for NITU Extension</w:t>
      </w:r>
    </w:p>
    <w:p w:rsidR="00A27598" w:rsidRPr="001D358E" w:rsidRDefault="00A27598" w:rsidP="00967B3C">
      <w:pPr>
        <w:spacing w:after="0"/>
        <w:jc w:val="both"/>
        <w:rPr>
          <w:sz w:val="28"/>
          <w:szCs w:val="28"/>
        </w:rPr>
      </w:pPr>
    </w:p>
    <w:p w:rsidR="009B4398" w:rsidRPr="009B4398" w:rsidRDefault="00264952" w:rsidP="00967B3C">
      <w:pPr>
        <w:jc w:val="both"/>
        <w:rPr>
          <w:sz w:val="28"/>
          <w:szCs w:val="28"/>
        </w:rPr>
      </w:pPr>
      <w:r w:rsidRPr="009B4398">
        <w:rPr>
          <w:sz w:val="28"/>
          <w:szCs w:val="28"/>
        </w:rPr>
        <w:t>On February 19, 2020 the City of Gadsden, Alabama request</w:t>
      </w:r>
      <w:r w:rsidR="009B4398">
        <w:rPr>
          <w:sz w:val="28"/>
          <w:szCs w:val="28"/>
        </w:rPr>
        <w:t>ed</w:t>
      </w:r>
      <w:r w:rsidRPr="009B4398">
        <w:rPr>
          <w:sz w:val="28"/>
          <w:szCs w:val="28"/>
        </w:rPr>
        <w:t xml:space="preserve"> another one year extension to a NITU issued in </w:t>
      </w:r>
      <w:r w:rsidR="000A1134">
        <w:rPr>
          <w:sz w:val="28"/>
          <w:szCs w:val="28"/>
        </w:rPr>
        <w:t xml:space="preserve">April </w:t>
      </w:r>
      <w:r w:rsidRPr="009B4398">
        <w:rPr>
          <w:sz w:val="28"/>
          <w:szCs w:val="28"/>
        </w:rPr>
        <w:t>2013</w:t>
      </w:r>
      <w:r w:rsidR="009B4398" w:rsidRPr="009B4398">
        <w:rPr>
          <w:sz w:val="28"/>
          <w:szCs w:val="28"/>
        </w:rPr>
        <w:t>. Th</w:t>
      </w:r>
      <w:r w:rsidR="009B4398">
        <w:rPr>
          <w:sz w:val="28"/>
          <w:szCs w:val="28"/>
        </w:rPr>
        <w:t>e City of Gadsden misreads the Transitional R</w:t>
      </w:r>
      <w:r w:rsidR="009B4398" w:rsidRPr="009B4398">
        <w:rPr>
          <w:sz w:val="28"/>
          <w:szCs w:val="28"/>
        </w:rPr>
        <w:t xml:space="preserve">ules the STB wrote for the </w:t>
      </w:r>
      <w:r w:rsidR="009B4398">
        <w:rPr>
          <w:sz w:val="28"/>
          <w:szCs w:val="28"/>
        </w:rPr>
        <w:t>F</w:t>
      </w:r>
      <w:r w:rsidR="009B4398" w:rsidRPr="009B4398">
        <w:rPr>
          <w:sz w:val="28"/>
          <w:szCs w:val="28"/>
        </w:rPr>
        <w:t>ina</w:t>
      </w:r>
      <w:r w:rsidR="009B4398">
        <w:rPr>
          <w:sz w:val="28"/>
          <w:szCs w:val="28"/>
        </w:rPr>
        <w:t>l R</w:t>
      </w:r>
      <w:r w:rsidR="009B4398" w:rsidRPr="009B4398">
        <w:rPr>
          <w:sz w:val="28"/>
          <w:szCs w:val="28"/>
        </w:rPr>
        <w:t>ules in EP-749-1 which became effective on February 2, 2020</w:t>
      </w:r>
      <w:r w:rsidR="009B4398">
        <w:rPr>
          <w:sz w:val="28"/>
          <w:szCs w:val="28"/>
        </w:rPr>
        <w:t xml:space="preserve">. </w:t>
      </w:r>
      <w:proofErr w:type="gramStart"/>
      <w:r w:rsidR="009B4398">
        <w:rPr>
          <w:sz w:val="28"/>
          <w:szCs w:val="28"/>
        </w:rPr>
        <w:t>A copy of the Transitional R</w:t>
      </w:r>
      <w:r w:rsidR="009B4398" w:rsidRPr="009B4398">
        <w:rPr>
          <w:sz w:val="28"/>
          <w:szCs w:val="28"/>
        </w:rPr>
        <w:t>ules are</w:t>
      </w:r>
      <w:proofErr w:type="gramEnd"/>
      <w:r w:rsidR="009B4398" w:rsidRPr="009B4398">
        <w:rPr>
          <w:sz w:val="28"/>
          <w:szCs w:val="28"/>
        </w:rPr>
        <w:t xml:space="preserve"> printed below.</w:t>
      </w:r>
    </w:p>
    <w:p w:rsidR="00264952" w:rsidRDefault="00264952" w:rsidP="009B4398">
      <w:pPr>
        <w:ind w:left="720"/>
        <w:jc w:val="both"/>
        <w:rPr>
          <w:rFonts w:ascii="Calibri" w:hAnsi="Calibri"/>
          <w:sz w:val="28"/>
          <w:szCs w:val="28"/>
        </w:rPr>
      </w:pPr>
      <w:r>
        <w:t>In the NPR, the Board stated that it may more liberally provide additional extensions for extraordinary circumstances in certain instances in which a CITU or NITU is pending when this rule takes effect. NPR, EP 749 et al., slip op. at 8. The Board clarifies now that, as a transitional measure, parties engaged in negotiations under an existing CITU or NITU that was originally issued before February 2, 2017, may request one additional extension of one year, beyond the four-year anniversary of the issuance of the CITU or NITU, without showing extraordinary circumstances.</w:t>
      </w:r>
    </w:p>
    <w:p w:rsidR="00264952" w:rsidRDefault="00AB2B41" w:rsidP="00967B3C">
      <w:pPr>
        <w:jc w:val="both"/>
        <w:rPr>
          <w:rFonts w:ascii="Calibri" w:hAnsi="Calibri"/>
          <w:sz w:val="28"/>
          <w:szCs w:val="28"/>
        </w:rPr>
      </w:pPr>
      <w:r>
        <w:rPr>
          <w:rFonts w:ascii="Calibri" w:hAnsi="Calibri"/>
          <w:sz w:val="28"/>
          <w:szCs w:val="28"/>
        </w:rPr>
        <w:t>T</w:t>
      </w:r>
      <w:r w:rsidR="009B4398">
        <w:rPr>
          <w:rFonts w:ascii="Calibri" w:hAnsi="Calibri"/>
          <w:sz w:val="28"/>
          <w:szCs w:val="28"/>
        </w:rPr>
        <w:t>he February 2, 2017 date the STB used in the Transitional Rules (see above) is three years from the date the Final Rules became effective.</w:t>
      </w:r>
      <w:r>
        <w:rPr>
          <w:rFonts w:ascii="Calibri" w:hAnsi="Calibri"/>
          <w:sz w:val="28"/>
          <w:szCs w:val="28"/>
        </w:rPr>
        <w:t xml:space="preserve"> NARPO believes if</w:t>
      </w:r>
      <w:r w:rsidR="009B4398">
        <w:rPr>
          <w:rFonts w:ascii="Calibri" w:hAnsi="Calibri"/>
          <w:sz w:val="28"/>
          <w:szCs w:val="28"/>
        </w:rPr>
        <w:t xml:space="preserve"> you add one year to February 2, 2017, </w:t>
      </w:r>
      <w:r>
        <w:rPr>
          <w:rFonts w:ascii="Calibri" w:hAnsi="Calibri"/>
          <w:sz w:val="28"/>
          <w:szCs w:val="28"/>
        </w:rPr>
        <w:t xml:space="preserve">a </w:t>
      </w:r>
      <w:r w:rsidR="009B4398">
        <w:rPr>
          <w:rFonts w:ascii="Calibri" w:hAnsi="Calibri"/>
          <w:sz w:val="28"/>
          <w:szCs w:val="28"/>
        </w:rPr>
        <w:t xml:space="preserve">February 2, 2016 </w:t>
      </w:r>
      <w:r>
        <w:rPr>
          <w:rFonts w:ascii="Calibri" w:hAnsi="Calibri"/>
          <w:sz w:val="28"/>
          <w:szCs w:val="28"/>
        </w:rPr>
        <w:t xml:space="preserve">original issue date </w:t>
      </w:r>
      <w:r w:rsidR="009B4398">
        <w:rPr>
          <w:rFonts w:ascii="Calibri" w:hAnsi="Calibri"/>
          <w:sz w:val="28"/>
          <w:szCs w:val="28"/>
        </w:rPr>
        <w:t xml:space="preserve">is the date that allows an additional one year extension to a NITU </w:t>
      </w:r>
      <w:r>
        <w:rPr>
          <w:rFonts w:ascii="Calibri" w:hAnsi="Calibri"/>
          <w:sz w:val="28"/>
          <w:szCs w:val="28"/>
        </w:rPr>
        <w:t xml:space="preserve">( without showing </w:t>
      </w:r>
      <w:r>
        <w:rPr>
          <w:rFonts w:ascii="Calibri" w:hAnsi="Calibri"/>
          <w:sz w:val="28"/>
          <w:szCs w:val="28"/>
        </w:rPr>
        <w:lastRenderedPageBreak/>
        <w:t xml:space="preserve">extraordinary circumstances) </w:t>
      </w:r>
      <w:r w:rsidR="009B4398">
        <w:rPr>
          <w:rFonts w:ascii="Calibri" w:hAnsi="Calibri"/>
          <w:sz w:val="28"/>
          <w:szCs w:val="28"/>
        </w:rPr>
        <w:t>if the NITU was issued after February 2, 2016</w:t>
      </w:r>
      <w:r>
        <w:rPr>
          <w:rFonts w:ascii="Calibri" w:hAnsi="Calibri"/>
          <w:sz w:val="28"/>
          <w:szCs w:val="28"/>
        </w:rPr>
        <w:t xml:space="preserve">.  The NITU in AB 290-335X was issued in April 2013 which is almost three years past the </w:t>
      </w:r>
      <w:r w:rsidR="000A1134">
        <w:rPr>
          <w:rFonts w:ascii="Calibri" w:hAnsi="Calibri"/>
          <w:sz w:val="28"/>
          <w:szCs w:val="28"/>
        </w:rPr>
        <w:t>four years allowed in the new NITU extension rules.</w:t>
      </w:r>
    </w:p>
    <w:p w:rsidR="00AB2B41" w:rsidRDefault="00AB2B41" w:rsidP="00967B3C">
      <w:pPr>
        <w:jc w:val="both"/>
        <w:rPr>
          <w:rFonts w:ascii="Calibri" w:hAnsi="Calibri"/>
          <w:sz w:val="28"/>
          <w:szCs w:val="28"/>
        </w:rPr>
      </w:pPr>
      <w:r>
        <w:rPr>
          <w:rFonts w:ascii="Calibri" w:hAnsi="Calibri"/>
          <w:sz w:val="28"/>
          <w:szCs w:val="28"/>
        </w:rPr>
        <w:t>The City of did not show any extraordinary circumstances in their request for another NITU extension so the STB should not allow another NITU extension.</w:t>
      </w:r>
    </w:p>
    <w:p w:rsidR="00AB2B41" w:rsidRDefault="00AB2B41" w:rsidP="00967B3C">
      <w:pPr>
        <w:jc w:val="both"/>
        <w:rPr>
          <w:rFonts w:ascii="Calibri" w:hAnsi="Calibri"/>
          <w:sz w:val="28"/>
          <w:szCs w:val="28"/>
        </w:rPr>
      </w:pPr>
      <w:r>
        <w:rPr>
          <w:rFonts w:ascii="Calibri" w:hAnsi="Calibri"/>
          <w:sz w:val="28"/>
          <w:szCs w:val="28"/>
        </w:rPr>
        <w:t xml:space="preserve">NARPO has attempted to serve this Comment Letter </w:t>
      </w:r>
      <w:r w:rsidR="000A1134">
        <w:rPr>
          <w:rFonts w:ascii="Calibri" w:hAnsi="Calibri"/>
          <w:sz w:val="28"/>
          <w:szCs w:val="28"/>
        </w:rPr>
        <w:t xml:space="preserve">on </w:t>
      </w:r>
      <w:r>
        <w:rPr>
          <w:rFonts w:ascii="Calibri" w:hAnsi="Calibri"/>
          <w:sz w:val="28"/>
          <w:szCs w:val="28"/>
        </w:rPr>
        <w:t>of Parties of Record that are still available.</w:t>
      </w:r>
    </w:p>
    <w:p w:rsidR="0025231F" w:rsidRPr="00AB2B41" w:rsidRDefault="0025231F" w:rsidP="00967B3C">
      <w:pPr>
        <w:jc w:val="both"/>
        <w:rPr>
          <w:rFonts w:ascii="Calibri" w:hAnsi="Calibri"/>
          <w:sz w:val="28"/>
          <w:szCs w:val="28"/>
        </w:rPr>
      </w:pPr>
      <w:r>
        <w:rPr>
          <w:rFonts w:ascii="Calibri" w:hAnsi="Calibri"/>
          <w:sz w:val="28"/>
          <w:szCs w:val="28"/>
        </w:rPr>
        <w:t>Sincerely yours,</w:t>
      </w:r>
    </w:p>
    <w:p w:rsidR="001D358E" w:rsidRPr="001D358E" w:rsidRDefault="001D358E" w:rsidP="00967B3C">
      <w:pPr>
        <w:jc w:val="both"/>
        <w:rPr>
          <w:sz w:val="28"/>
          <w:szCs w:val="28"/>
        </w:rPr>
      </w:pPr>
      <w:r>
        <w:rPr>
          <w:sz w:val="28"/>
          <w:szCs w:val="28"/>
        </w:rPr>
        <w:t xml:space="preserve">Richard Welsh, </w:t>
      </w:r>
      <w:r w:rsidR="0025231F">
        <w:rPr>
          <w:sz w:val="28"/>
          <w:szCs w:val="28"/>
        </w:rPr>
        <w:t xml:space="preserve">Executive Director </w:t>
      </w:r>
      <w:r>
        <w:rPr>
          <w:sz w:val="28"/>
          <w:szCs w:val="28"/>
        </w:rPr>
        <w:t>NARPO</w:t>
      </w:r>
    </w:p>
    <w:sectPr w:rsidR="001D358E" w:rsidRPr="001D358E" w:rsidSect="00AB2B41">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F3D56"/>
    <w:rsid w:val="000A1134"/>
    <w:rsid w:val="000B34A9"/>
    <w:rsid w:val="000B642C"/>
    <w:rsid w:val="000C14C9"/>
    <w:rsid w:val="001A78D4"/>
    <w:rsid w:val="001D358E"/>
    <w:rsid w:val="0025231F"/>
    <w:rsid w:val="00264952"/>
    <w:rsid w:val="00313888"/>
    <w:rsid w:val="003F100D"/>
    <w:rsid w:val="004E2080"/>
    <w:rsid w:val="005004B1"/>
    <w:rsid w:val="005338E7"/>
    <w:rsid w:val="005A1E01"/>
    <w:rsid w:val="005B3B7C"/>
    <w:rsid w:val="006F3F1A"/>
    <w:rsid w:val="00732398"/>
    <w:rsid w:val="0077594D"/>
    <w:rsid w:val="00847AA8"/>
    <w:rsid w:val="008F3C68"/>
    <w:rsid w:val="00931265"/>
    <w:rsid w:val="00941DCC"/>
    <w:rsid w:val="00967B3C"/>
    <w:rsid w:val="009B4398"/>
    <w:rsid w:val="00A27598"/>
    <w:rsid w:val="00A730D2"/>
    <w:rsid w:val="00AB2B41"/>
    <w:rsid w:val="00AD4A26"/>
    <w:rsid w:val="00C16837"/>
    <w:rsid w:val="00C90C5D"/>
    <w:rsid w:val="00CA45AE"/>
    <w:rsid w:val="00CF3D56"/>
    <w:rsid w:val="00D0116C"/>
    <w:rsid w:val="00D34531"/>
    <w:rsid w:val="00E77DD8"/>
    <w:rsid w:val="00EF7E35"/>
    <w:rsid w:val="00FE4355"/>
    <w:rsid w:val="00FF44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4C9"/>
  </w:style>
  <w:style w:type="paragraph" w:styleId="Heading3">
    <w:name w:val="heading 3"/>
    <w:basedOn w:val="Normal"/>
    <w:link w:val="Heading3Char"/>
    <w:uiPriority w:val="9"/>
    <w:qFormat/>
    <w:rsid w:val="00A275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D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D56"/>
    <w:rPr>
      <w:rFonts w:ascii="Tahoma" w:hAnsi="Tahoma" w:cs="Tahoma"/>
      <w:sz w:val="16"/>
      <w:szCs w:val="16"/>
    </w:rPr>
  </w:style>
  <w:style w:type="paragraph" w:styleId="HTMLPreformatted">
    <w:name w:val="HTML Preformatted"/>
    <w:basedOn w:val="Normal"/>
    <w:link w:val="HTMLPreformattedChar"/>
    <w:uiPriority w:val="99"/>
    <w:semiHidden/>
    <w:unhideWhenUsed/>
    <w:rsid w:val="00C90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0C5D"/>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rsid w:val="00A2759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275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99564021">
      <w:bodyDiv w:val="1"/>
      <w:marLeft w:val="0"/>
      <w:marRight w:val="0"/>
      <w:marTop w:val="0"/>
      <w:marBottom w:val="0"/>
      <w:divBdr>
        <w:top w:val="none" w:sz="0" w:space="0" w:color="auto"/>
        <w:left w:val="none" w:sz="0" w:space="0" w:color="auto"/>
        <w:bottom w:val="none" w:sz="0" w:space="0" w:color="auto"/>
        <w:right w:val="none" w:sz="0" w:space="0" w:color="auto"/>
      </w:divBdr>
      <w:divsChild>
        <w:div w:id="880828732">
          <w:marLeft w:val="0"/>
          <w:marRight w:val="0"/>
          <w:marTop w:val="0"/>
          <w:marBottom w:val="0"/>
          <w:divBdr>
            <w:top w:val="none" w:sz="0" w:space="0" w:color="auto"/>
            <w:left w:val="none" w:sz="0" w:space="0" w:color="auto"/>
            <w:bottom w:val="none" w:sz="0" w:space="0" w:color="auto"/>
            <w:right w:val="none" w:sz="0" w:space="0" w:color="auto"/>
          </w:divBdr>
        </w:div>
      </w:divsChild>
    </w:div>
    <w:div w:id="179995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338</Words>
  <Characters>1710</Characters>
  <Application>Microsoft Office Word</Application>
  <DocSecurity>0</DocSecurity>
  <Lines>45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Dick</cp:lastModifiedBy>
  <cp:revision>2</cp:revision>
  <cp:lastPrinted>2019-02-12T03:49:00Z</cp:lastPrinted>
  <dcterms:created xsi:type="dcterms:W3CDTF">2020-02-21T00:16:00Z</dcterms:created>
  <dcterms:modified xsi:type="dcterms:W3CDTF">2020-02-21T00:16:00Z</dcterms:modified>
</cp:coreProperties>
</file>